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A4" w:rsidRDefault="001B50A4" w:rsidP="001B50A4">
      <w:pPr>
        <w:pStyle w:val="Tekstpodstawowy"/>
        <w:jc w:val="center"/>
        <w:rPr>
          <w:rFonts w:cstheme="minorHAnsi"/>
          <w:sz w:val="48"/>
          <w:szCs w:val="22"/>
          <w:lang w:val="pl-PL"/>
        </w:rPr>
      </w:pPr>
    </w:p>
    <w:p w:rsidR="001B50A4" w:rsidRDefault="001B50A4" w:rsidP="001B50A4">
      <w:pPr>
        <w:pStyle w:val="Tekstpodstawowy"/>
        <w:jc w:val="center"/>
        <w:rPr>
          <w:rFonts w:cstheme="minorHAnsi"/>
          <w:sz w:val="48"/>
          <w:szCs w:val="22"/>
          <w:lang w:val="pl-PL"/>
        </w:rPr>
      </w:pPr>
    </w:p>
    <w:p w:rsidR="00AA4704" w:rsidRDefault="00AA4704" w:rsidP="001B50A4">
      <w:pPr>
        <w:pStyle w:val="Tekstpodstawowy"/>
        <w:jc w:val="center"/>
        <w:rPr>
          <w:rFonts w:cstheme="minorHAnsi"/>
          <w:sz w:val="48"/>
          <w:szCs w:val="22"/>
          <w:lang w:val="pl-PL"/>
        </w:rPr>
      </w:pPr>
    </w:p>
    <w:p w:rsidR="001B50A4" w:rsidRDefault="001B50A4" w:rsidP="001B50A4">
      <w:pPr>
        <w:pStyle w:val="Tekstpodstawowy"/>
        <w:jc w:val="center"/>
        <w:rPr>
          <w:rFonts w:cstheme="minorHAnsi"/>
          <w:sz w:val="48"/>
          <w:szCs w:val="22"/>
          <w:lang w:val="pl-PL"/>
        </w:rPr>
      </w:pPr>
    </w:p>
    <w:p w:rsidR="001B50A4" w:rsidRDefault="001B50A4" w:rsidP="001B50A4">
      <w:pPr>
        <w:pStyle w:val="Tekstpodstawowy"/>
        <w:jc w:val="center"/>
        <w:rPr>
          <w:rFonts w:cstheme="minorHAnsi"/>
          <w:sz w:val="48"/>
          <w:szCs w:val="22"/>
          <w:lang w:val="pl-PL"/>
        </w:rPr>
      </w:pPr>
    </w:p>
    <w:p w:rsidR="001B50A4" w:rsidRPr="00170736" w:rsidRDefault="00170736" w:rsidP="00170736">
      <w:pPr>
        <w:pStyle w:val="Tekstpodstawowy"/>
        <w:jc w:val="center"/>
        <w:rPr>
          <w:rFonts w:cstheme="minorHAnsi"/>
          <w:sz w:val="48"/>
          <w:szCs w:val="22"/>
        </w:rPr>
      </w:pPr>
      <w:r w:rsidRPr="00170736">
        <w:rPr>
          <w:rFonts w:cstheme="minorHAnsi"/>
          <w:sz w:val="48"/>
          <w:szCs w:val="22"/>
        </w:rPr>
        <w:t>Manual</w:t>
      </w:r>
      <w:r w:rsidR="00925113" w:rsidRPr="00170736">
        <w:rPr>
          <w:rFonts w:cstheme="minorHAnsi"/>
          <w:sz w:val="48"/>
          <w:szCs w:val="22"/>
        </w:rPr>
        <w:t xml:space="preserve"> </w:t>
      </w:r>
      <w:r w:rsidR="00A116DD" w:rsidRPr="00170736">
        <w:rPr>
          <w:rFonts w:cstheme="minorHAnsi"/>
          <w:sz w:val="48"/>
          <w:szCs w:val="22"/>
        </w:rPr>
        <w:t xml:space="preserve">– </w:t>
      </w:r>
      <w:r w:rsidR="00925113" w:rsidRPr="00170736">
        <w:rPr>
          <w:rFonts w:cstheme="minorHAnsi"/>
          <w:sz w:val="48"/>
          <w:szCs w:val="22"/>
        </w:rPr>
        <w:t>Macro Charts v 1.1</w:t>
      </w:r>
      <w:r w:rsidRPr="00170736">
        <w:rPr>
          <w:rFonts w:cstheme="minorHAnsi"/>
          <w:sz w:val="48"/>
          <w:szCs w:val="22"/>
        </w:rPr>
        <w:t xml:space="preserve"> Add-in</w:t>
      </w: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Jakub Rybacki, </w:t>
      </w:r>
      <w:r>
        <w:rPr>
          <w:rFonts w:cstheme="minorHAnsi"/>
        </w:rPr>
        <w:t>jakub.rybacki@gmail.com</w:t>
      </w: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jc w:val="center"/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B50A4" w:rsidRDefault="001B50A4" w:rsidP="001B50A4">
      <w:pPr>
        <w:rPr>
          <w:rFonts w:cstheme="minorHAnsi"/>
          <w:sz w:val="22"/>
          <w:szCs w:val="22"/>
        </w:rPr>
      </w:pPr>
    </w:p>
    <w:p w:rsidR="00170736" w:rsidRDefault="00170736" w:rsidP="001B50A4">
      <w:pPr>
        <w:jc w:val="center"/>
        <w:rPr>
          <w:rFonts w:cstheme="minorHAnsi"/>
          <w:sz w:val="22"/>
          <w:szCs w:val="22"/>
        </w:rPr>
      </w:pPr>
    </w:p>
    <w:p w:rsidR="00170736" w:rsidRDefault="00170736" w:rsidP="001B50A4">
      <w:pPr>
        <w:jc w:val="center"/>
        <w:rPr>
          <w:rFonts w:cstheme="minorHAnsi"/>
          <w:sz w:val="22"/>
          <w:szCs w:val="22"/>
        </w:rPr>
      </w:pPr>
    </w:p>
    <w:p w:rsidR="00170736" w:rsidRDefault="00170736" w:rsidP="00170736">
      <w:pPr>
        <w:jc w:val="center"/>
        <w:rPr>
          <w:rFonts w:cstheme="minorHAnsi"/>
        </w:rPr>
      </w:pPr>
      <w:proofErr w:type="spellStart"/>
      <w:r>
        <w:rPr>
          <w:rFonts w:cstheme="minorHAnsi"/>
          <w:sz w:val="22"/>
          <w:szCs w:val="22"/>
        </w:rPr>
        <w:t>Warsaw</w:t>
      </w:r>
      <w:proofErr w:type="spellEnd"/>
      <w:r w:rsidR="001B50A4">
        <w:rPr>
          <w:rFonts w:cstheme="minorHAnsi"/>
          <w:sz w:val="22"/>
          <w:szCs w:val="22"/>
        </w:rPr>
        <w:t>, 201</w:t>
      </w:r>
      <w:r w:rsidR="001B50A4">
        <w:rPr>
          <w:rFonts w:cstheme="minorHAnsi"/>
        </w:rPr>
        <w:t>4</w:t>
      </w:r>
      <w:r>
        <w:rPr>
          <w:rFonts w:cstheme="minorHAnsi"/>
        </w:rPr>
        <w:br w:type="column"/>
      </w:r>
    </w:p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-2014898788"/>
        <w:docPartObj>
          <w:docPartGallery w:val="Table of Contents"/>
          <w:docPartUnique/>
        </w:docPartObj>
      </w:sdtPr>
      <w:sdtEndPr/>
      <w:sdtContent>
        <w:p w:rsidR="007F135C" w:rsidRDefault="00170736">
          <w:pPr>
            <w:pStyle w:val="Nagwekspisutreci"/>
          </w:pPr>
          <w:r>
            <w:t>Table of Contents</w:t>
          </w:r>
        </w:p>
        <w:p w:rsidR="00D4475B" w:rsidRDefault="007F135C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673010" w:history="1">
            <w:r w:rsidR="00D4475B" w:rsidRPr="00C458B6">
              <w:rPr>
                <w:rStyle w:val="Hipercze"/>
                <w:noProof/>
                <w:lang w:val="en-US"/>
              </w:rPr>
              <w:t>Introduction</w:t>
            </w:r>
            <w:r w:rsidR="00D4475B">
              <w:rPr>
                <w:noProof/>
                <w:webHidden/>
              </w:rPr>
              <w:tab/>
            </w:r>
            <w:r w:rsidR="00D4475B">
              <w:rPr>
                <w:noProof/>
                <w:webHidden/>
              </w:rPr>
              <w:fldChar w:fldCharType="begin"/>
            </w:r>
            <w:r w:rsidR="00D4475B">
              <w:rPr>
                <w:noProof/>
                <w:webHidden/>
              </w:rPr>
              <w:instrText xml:space="preserve"> PAGEREF _Toc406673010 \h </w:instrText>
            </w:r>
            <w:r w:rsidR="00D4475B">
              <w:rPr>
                <w:noProof/>
                <w:webHidden/>
              </w:rPr>
            </w:r>
            <w:r w:rsidR="00D4475B">
              <w:rPr>
                <w:noProof/>
                <w:webHidden/>
              </w:rPr>
              <w:fldChar w:fldCharType="separate"/>
            </w:r>
            <w:r w:rsidR="00D4475B">
              <w:rPr>
                <w:noProof/>
                <w:webHidden/>
              </w:rPr>
              <w:t>3</w:t>
            </w:r>
            <w:r w:rsidR="00D4475B"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1" w:history="1">
            <w:r w:rsidRPr="00C458B6">
              <w:rPr>
                <w:rStyle w:val="Hipercze"/>
                <w:noProof/>
              </w:rPr>
              <w:t>Instalation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2" w:history="1">
            <w:r w:rsidRPr="00C458B6">
              <w:rPr>
                <w:rStyle w:val="Hipercze"/>
                <w:noProof/>
              </w:rPr>
              <w:t>Keyboard Shortcuts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3" w:history="1">
            <w:r w:rsidRPr="00C458B6">
              <w:rPr>
                <w:rStyle w:val="Hipercze"/>
                <w:noProof/>
              </w:rPr>
              <w:t>Seasonal Plot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4" w:history="1">
            <w:r w:rsidRPr="00C458B6">
              <w:rPr>
                <w:rStyle w:val="Hipercze"/>
                <w:noProof/>
                <w:lang w:val="en-US"/>
              </w:rPr>
              <w:t>Enhancing the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5" w:history="1">
            <w:r w:rsidRPr="00C458B6">
              <w:rPr>
                <w:rStyle w:val="Hipercze"/>
                <w:noProof/>
                <w:lang w:val="en-US"/>
              </w:rPr>
              <w:t>Scatter Plot – Cross Section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6" w:history="1">
            <w:r w:rsidRPr="00C458B6">
              <w:rPr>
                <w:rStyle w:val="Hipercze"/>
                <w:noProof/>
                <w:lang w:val="en-US"/>
              </w:rPr>
              <w:t>Enhancing the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7" w:history="1">
            <w:r w:rsidRPr="00C458B6">
              <w:rPr>
                <w:rStyle w:val="Hipercze"/>
                <w:noProof/>
              </w:rPr>
              <w:t>Known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475B" w:rsidRDefault="00D4475B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06673018" w:history="1">
            <w:r w:rsidRPr="00C458B6">
              <w:rPr>
                <w:rStyle w:val="Hipercze"/>
                <w:noProof/>
              </w:rPr>
              <w:t>Scatter Plot – Time Series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_Toc406673018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7CB8" w:rsidRDefault="007F135C">
          <w:r>
            <w:rPr>
              <w:b/>
              <w:bCs/>
            </w:rPr>
            <w:fldChar w:fldCharType="end"/>
          </w:r>
        </w:p>
      </w:sdtContent>
    </w:sdt>
    <w:p w:rsidR="007F135C" w:rsidRDefault="00037CB8">
      <w:r>
        <w:br w:type="page"/>
      </w:r>
    </w:p>
    <w:p w:rsidR="007F135C" w:rsidRPr="006B6C8F" w:rsidRDefault="006B6C8F" w:rsidP="007F135C">
      <w:pPr>
        <w:pStyle w:val="Nagwek1"/>
        <w:rPr>
          <w:lang w:val="en-US"/>
        </w:rPr>
      </w:pPr>
      <w:bookmarkStart w:id="0" w:name="_Toc406673010"/>
      <w:r w:rsidRPr="006B6C8F">
        <w:rPr>
          <w:lang w:val="en-US"/>
        </w:rPr>
        <w:lastRenderedPageBreak/>
        <w:t>Introduction</w:t>
      </w:r>
      <w:bookmarkEnd w:id="0"/>
    </w:p>
    <w:p w:rsidR="00FC3627" w:rsidRPr="006B6C8F" w:rsidRDefault="006B6C8F" w:rsidP="00650B3D">
      <w:pPr>
        <w:jc w:val="both"/>
        <w:rPr>
          <w:lang w:val="en-US"/>
        </w:rPr>
      </w:pPr>
      <w:r w:rsidRPr="006B6C8F">
        <w:rPr>
          <w:lang w:val="en-US"/>
        </w:rPr>
        <w:t xml:space="preserve">The aim of this document is to present functionality of Macro Charts Add-in. </w:t>
      </w:r>
      <w:r>
        <w:rPr>
          <w:lang w:val="en-US"/>
        </w:rPr>
        <w:t>This application contains three extensions of basic Excel charts</w:t>
      </w:r>
      <w:r w:rsidR="00FC3627" w:rsidRPr="006B6C8F">
        <w:rPr>
          <w:lang w:val="en-US"/>
        </w:rPr>
        <w:t>:</w:t>
      </w:r>
    </w:p>
    <w:p w:rsidR="00FC3627" w:rsidRPr="006B6C8F" w:rsidRDefault="00F42656" w:rsidP="006B6C8F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6B6C8F">
        <w:rPr>
          <w:lang w:val="en-US"/>
        </w:rPr>
        <w:t>S</w:t>
      </w:r>
      <w:r w:rsidR="006B6C8F" w:rsidRPr="006B6C8F">
        <w:rPr>
          <w:lang w:val="en-US"/>
        </w:rPr>
        <w:t>easonal plot</w:t>
      </w:r>
      <w:r w:rsidR="00FC3627" w:rsidRPr="006B6C8F">
        <w:rPr>
          <w:lang w:val="en-US"/>
        </w:rPr>
        <w:t xml:space="preserve"> – </w:t>
      </w:r>
      <w:r w:rsidR="006B6C8F" w:rsidRPr="006B6C8F">
        <w:rPr>
          <w:lang w:val="en-US"/>
        </w:rPr>
        <w:t>Column chart grouping observations, which belongs to the same period in the cycle</w:t>
      </w:r>
      <w:r w:rsidR="008117D5" w:rsidRPr="006B6C8F">
        <w:rPr>
          <w:lang w:val="en-US"/>
        </w:rPr>
        <w:t>.</w:t>
      </w:r>
      <w:r w:rsidR="004B41AF" w:rsidRPr="006B6C8F">
        <w:rPr>
          <w:lang w:val="en-US"/>
        </w:rPr>
        <w:t xml:space="preserve"> </w:t>
      </w:r>
      <w:r w:rsidR="006B6C8F">
        <w:rPr>
          <w:lang w:val="en-US"/>
        </w:rPr>
        <w:t xml:space="preserve"> </w:t>
      </w:r>
      <w:r w:rsidR="006B6C8F" w:rsidRPr="006B6C8F">
        <w:rPr>
          <w:lang w:val="en-US"/>
        </w:rPr>
        <w:t xml:space="preserve">This chart gives </w:t>
      </w:r>
      <w:r w:rsidR="001E6935" w:rsidRPr="006B6C8F">
        <w:rPr>
          <w:lang w:val="en-US"/>
        </w:rPr>
        <w:t>an</w:t>
      </w:r>
      <w:r w:rsidR="006B6C8F" w:rsidRPr="006B6C8F">
        <w:rPr>
          <w:lang w:val="en-US"/>
        </w:rPr>
        <w:t xml:space="preserve"> invaluable </w:t>
      </w:r>
      <w:r w:rsidR="001E6935" w:rsidRPr="006B6C8F">
        <w:rPr>
          <w:lang w:val="en-US"/>
        </w:rPr>
        <w:t>support</w:t>
      </w:r>
      <w:r w:rsidR="006B6C8F" w:rsidRPr="006B6C8F">
        <w:rPr>
          <w:lang w:val="en-US"/>
        </w:rPr>
        <w:t xml:space="preserve"> in case of analyzing strongly seasonal phenomenon like: </w:t>
      </w:r>
      <w:r w:rsidR="001E6935" w:rsidRPr="006B6C8F">
        <w:rPr>
          <w:lang w:val="en-US"/>
        </w:rPr>
        <w:t>dynamics</w:t>
      </w:r>
      <w:r w:rsidR="006B6C8F" w:rsidRPr="006B6C8F">
        <w:rPr>
          <w:lang w:val="en-US"/>
        </w:rPr>
        <w:t xml:space="preserve"> of construction/industrial production, vegetable</w:t>
      </w:r>
      <w:r w:rsidR="006B6C8F">
        <w:rPr>
          <w:lang w:val="en-US"/>
        </w:rPr>
        <w:t>s</w:t>
      </w:r>
      <w:r w:rsidR="006B6C8F" w:rsidRPr="006B6C8F">
        <w:rPr>
          <w:lang w:val="en-US"/>
        </w:rPr>
        <w:t>/fruit</w:t>
      </w:r>
      <w:r w:rsidR="006B6C8F">
        <w:rPr>
          <w:lang w:val="en-US"/>
        </w:rPr>
        <w:t>s’</w:t>
      </w:r>
      <w:r w:rsidR="006B6C8F" w:rsidRPr="006B6C8F">
        <w:rPr>
          <w:lang w:val="en-US"/>
        </w:rPr>
        <w:t xml:space="preserve"> prices</w:t>
      </w:r>
      <w:r w:rsidR="001E6935">
        <w:rPr>
          <w:lang w:val="en-US"/>
        </w:rPr>
        <w:t xml:space="preserve"> etc.</w:t>
      </w:r>
    </w:p>
    <w:p w:rsidR="00FC3627" w:rsidRPr="00236B2B" w:rsidRDefault="002A0D99" w:rsidP="00236B2B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236B2B">
        <w:rPr>
          <w:lang w:val="en-US"/>
        </w:rPr>
        <w:t>Labelled Scatter Plot of Cross-Section Data</w:t>
      </w:r>
      <w:r w:rsidR="00CA1004" w:rsidRPr="00236B2B">
        <w:rPr>
          <w:lang w:val="en-US"/>
        </w:rPr>
        <w:t xml:space="preserve"> – </w:t>
      </w:r>
      <w:r w:rsidR="00236B2B" w:rsidRPr="00236B2B">
        <w:rPr>
          <w:lang w:val="en-US"/>
        </w:rPr>
        <w:t>this module extends functionality of basic Scatter Plot, allowing for labeling names of observations</w:t>
      </w:r>
      <w:r w:rsidR="004B41AF" w:rsidRPr="00236B2B">
        <w:rPr>
          <w:lang w:val="en-US"/>
        </w:rPr>
        <w:t xml:space="preserve"> </w:t>
      </w:r>
    </w:p>
    <w:p w:rsidR="00AB0D40" w:rsidRPr="00AB0D40" w:rsidRDefault="00EC7C9C" w:rsidP="00424D2D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B0D40">
        <w:rPr>
          <w:lang w:val="en-US"/>
        </w:rPr>
        <w:t>Scatter plot of Time Series Data</w:t>
      </w:r>
      <w:r w:rsidR="0012053E" w:rsidRPr="00AB0D40">
        <w:rPr>
          <w:lang w:val="en-US"/>
        </w:rPr>
        <w:t xml:space="preserve"> –</w:t>
      </w:r>
      <w:r w:rsidR="00AB0D40" w:rsidRPr="00AB0D40">
        <w:rPr>
          <w:lang w:val="en-US"/>
        </w:rPr>
        <w:t xml:space="preserve"> this module would create a Scatter Plot presenting variable behavior during business cycle</w:t>
      </w:r>
    </w:p>
    <w:p w:rsidR="0012053E" w:rsidRPr="00D7579A" w:rsidRDefault="0012053E" w:rsidP="00AB0D40">
      <w:pPr>
        <w:pStyle w:val="Akapitzlist"/>
        <w:jc w:val="both"/>
        <w:rPr>
          <w:lang w:val="en-US"/>
        </w:rPr>
      </w:pPr>
    </w:p>
    <w:p w:rsidR="00F6296A" w:rsidRDefault="003E28D6" w:rsidP="00F6296A">
      <w:pPr>
        <w:pStyle w:val="Nagwek1"/>
      </w:pPr>
      <w:bookmarkStart w:id="1" w:name="_Toc406673011"/>
      <w:r>
        <w:t>Instalation</w:t>
      </w:r>
      <w:bookmarkEnd w:id="1"/>
    </w:p>
    <w:p w:rsidR="001763C7" w:rsidRDefault="001763C7" w:rsidP="001763C7">
      <w:pPr>
        <w:jc w:val="both"/>
        <w:rPr>
          <w:lang w:val="en-US"/>
        </w:rPr>
      </w:pPr>
      <w:r>
        <w:rPr>
          <w:lang w:val="en-US"/>
        </w:rPr>
        <w:t xml:space="preserve">Installation of </w:t>
      </w:r>
      <w:r>
        <w:rPr>
          <w:lang w:val="en-US"/>
        </w:rPr>
        <w:t>Macro Charts</w:t>
      </w:r>
      <w:r>
        <w:rPr>
          <w:lang w:val="en-US"/>
        </w:rPr>
        <w:t xml:space="preserve"> Add-in would create following menu in the Add-ins tab at the ribbon:</w:t>
      </w:r>
    </w:p>
    <w:p w:rsidR="00246893" w:rsidRDefault="00246893" w:rsidP="00EB45C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273300" cy="98996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C7" w:rsidRDefault="001763C7" w:rsidP="001763C7">
      <w:pPr>
        <w:rPr>
          <w:lang w:val="en-US"/>
        </w:rPr>
      </w:pPr>
      <w:r>
        <w:rPr>
          <w:lang w:val="en-US"/>
        </w:rPr>
        <w:t>Also functionality of some keyboard combinations would be overridden. Details below:</w:t>
      </w:r>
    </w:p>
    <w:p w:rsidR="00F6296A" w:rsidRDefault="003E28D6" w:rsidP="00246893">
      <w:pPr>
        <w:pStyle w:val="Nagwek2"/>
      </w:pPr>
      <w:bookmarkStart w:id="2" w:name="_Toc406673012"/>
      <w:r>
        <w:t>Keyboard Shortcuts</w:t>
      </w:r>
      <w:bookmarkEnd w:id="2"/>
    </w:p>
    <w:p w:rsidR="00037CB8" w:rsidRPr="00037CB8" w:rsidRDefault="00037CB8" w:rsidP="00A05F0A">
      <w:pPr>
        <w:spacing w:before="0" w:after="0"/>
      </w:pPr>
    </w:p>
    <w:tbl>
      <w:tblPr>
        <w:tblStyle w:val="Jasnalistaakc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7CB8" w:rsidTr="0003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37CB8" w:rsidRPr="00037CB8" w:rsidRDefault="000F2B8F" w:rsidP="00AA06AB">
            <w:pPr>
              <w:jc w:val="center"/>
            </w:pPr>
            <w:r w:rsidRPr="00037CB8">
              <w:br w:type="page"/>
            </w:r>
            <w:proofErr w:type="spellStart"/>
            <w:r w:rsidR="00AA06AB">
              <w:t>Shortcut</w:t>
            </w:r>
            <w:proofErr w:type="spellEnd"/>
          </w:p>
        </w:tc>
        <w:tc>
          <w:tcPr>
            <w:tcW w:w="4606" w:type="dxa"/>
          </w:tcPr>
          <w:p w:rsidR="00037CB8" w:rsidRPr="00037CB8" w:rsidRDefault="00AA06AB" w:rsidP="0003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</w:tr>
      <w:tr w:rsidR="00037CB8" w:rsidTr="0003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37CB8" w:rsidRDefault="00037CB8" w:rsidP="00037CB8">
            <w:pPr>
              <w:jc w:val="center"/>
            </w:pPr>
            <w:r>
              <w:t>CTRL + SHIFT + F4</w:t>
            </w:r>
          </w:p>
        </w:tc>
        <w:tc>
          <w:tcPr>
            <w:tcW w:w="4606" w:type="dxa"/>
          </w:tcPr>
          <w:p w:rsidR="00037CB8" w:rsidRDefault="00AA06AB" w:rsidP="0003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0FB">
              <w:rPr>
                <w:lang w:val="en-US"/>
              </w:rPr>
              <w:t>Seasonal</w:t>
            </w:r>
            <w:r>
              <w:t xml:space="preserve"> Plot</w:t>
            </w:r>
          </w:p>
        </w:tc>
      </w:tr>
      <w:tr w:rsidR="00037CB8" w:rsidRPr="00D7579A" w:rsidTr="00037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37CB8" w:rsidRDefault="00037CB8" w:rsidP="00276F61">
            <w:pPr>
              <w:jc w:val="center"/>
            </w:pPr>
            <w:r>
              <w:t>ALT + SHIFT + F4</w:t>
            </w:r>
          </w:p>
        </w:tc>
        <w:tc>
          <w:tcPr>
            <w:tcW w:w="4606" w:type="dxa"/>
          </w:tcPr>
          <w:p w:rsidR="00037CB8" w:rsidRPr="00AA06AB" w:rsidRDefault="00AA06AB" w:rsidP="0003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36B2B">
              <w:rPr>
                <w:lang w:val="en-US"/>
              </w:rPr>
              <w:t>Labelled Scatter Plot of Cross-Section Data</w:t>
            </w:r>
          </w:p>
        </w:tc>
      </w:tr>
      <w:tr w:rsidR="00037CB8" w:rsidRPr="00D7579A" w:rsidTr="0003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37CB8" w:rsidRDefault="00037CB8" w:rsidP="00037CB8">
            <w:pPr>
              <w:jc w:val="center"/>
            </w:pPr>
            <w:r>
              <w:t>CTRL + ALT + F4</w:t>
            </w:r>
          </w:p>
        </w:tc>
        <w:tc>
          <w:tcPr>
            <w:tcW w:w="4606" w:type="dxa"/>
          </w:tcPr>
          <w:p w:rsidR="00037CB8" w:rsidRPr="00AA06AB" w:rsidRDefault="00AA06AB" w:rsidP="00F26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B0D40">
              <w:rPr>
                <w:lang w:val="en-US"/>
              </w:rPr>
              <w:t>Scatter plot of Time Series Data</w:t>
            </w:r>
          </w:p>
        </w:tc>
      </w:tr>
    </w:tbl>
    <w:p w:rsidR="00037CB8" w:rsidRPr="00AA06AB" w:rsidRDefault="00037CB8" w:rsidP="000F2B8F">
      <w:pPr>
        <w:rPr>
          <w:lang w:val="en-US"/>
        </w:rPr>
      </w:pPr>
    </w:p>
    <w:p w:rsidR="00037CB8" w:rsidRPr="00AA06AB" w:rsidRDefault="00037CB8" w:rsidP="000F2B8F">
      <w:pPr>
        <w:rPr>
          <w:lang w:val="en-US"/>
        </w:rPr>
      </w:pPr>
      <w:r w:rsidRPr="00AA06AB">
        <w:rPr>
          <w:lang w:val="en-US"/>
        </w:rPr>
        <w:br w:type="page"/>
      </w:r>
    </w:p>
    <w:p w:rsidR="00F6296A" w:rsidRDefault="001E53CD" w:rsidP="00F6296A">
      <w:pPr>
        <w:pStyle w:val="Nagwek1"/>
      </w:pPr>
      <w:bookmarkStart w:id="3" w:name="_Toc406673013"/>
      <w:r>
        <w:lastRenderedPageBreak/>
        <w:t>Seasonal Plot</w:t>
      </w:r>
      <w:bookmarkEnd w:id="3"/>
    </w:p>
    <w:p w:rsidR="00A36D27" w:rsidRPr="00D7579A" w:rsidRDefault="00D7579A" w:rsidP="00650B3D">
      <w:pPr>
        <w:jc w:val="both"/>
        <w:rPr>
          <w:lang w:val="en-US"/>
        </w:rPr>
      </w:pPr>
      <w:r w:rsidRPr="00D7579A">
        <w:rPr>
          <w:lang w:val="en-US"/>
        </w:rPr>
        <w:t>Selection of</w:t>
      </w:r>
      <w:r w:rsidR="005D12C5" w:rsidRPr="00D7579A">
        <w:rPr>
          <w:lang w:val="en-US"/>
        </w:rPr>
        <w:t xml:space="preserve"> </w:t>
      </w:r>
      <w:r w:rsidR="005D12C5" w:rsidRPr="00D7579A">
        <w:rPr>
          <w:b/>
          <w:i/>
          <w:lang w:val="en-US"/>
        </w:rPr>
        <w:t>Seasonal plot</w:t>
      </w:r>
      <w:r w:rsidRPr="00D7579A">
        <w:rPr>
          <w:b/>
          <w:i/>
          <w:lang w:val="en-US"/>
        </w:rPr>
        <w:t xml:space="preserve"> </w:t>
      </w:r>
      <w:r w:rsidRPr="00D7579A">
        <w:rPr>
          <w:lang w:val="en-US"/>
        </w:rPr>
        <w:t>option</w:t>
      </w:r>
      <w:r w:rsidR="005D12C5" w:rsidRPr="00D7579A">
        <w:rPr>
          <w:lang w:val="en-US"/>
        </w:rPr>
        <w:t xml:space="preserve">, </w:t>
      </w:r>
      <w:r w:rsidRPr="00D7579A">
        <w:rPr>
          <w:lang w:val="en-US"/>
        </w:rPr>
        <w:t>or pressing</w:t>
      </w:r>
      <w:r w:rsidR="005D12C5" w:rsidRPr="00D7579A">
        <w:rPr>
          <w:lang w:val="en-US"/>
        </w:rPr>
        <w:t xml:space="preserve"> </w:t>
      </w:r>
      <w:r w:rsidR="005D12C5" w:rsidRPr="00D7579A">
        <w:rPr>
          <w:b/>
          <w:lang w:val="en-US"/>
        </w:rPr>
        <w:t>CTRL + SHIFT + F4</w:t>
      </w:r>
      <w:r w:rsidR="003B4F43" w:rsidRPr="00D7579A">
        <w:rPr>
          <w:b/>
          <w:lang w:val="en-US"/>
        </w:rPr>
        <w:t xml:space="preserve"> </w:t>
      </w:r>
      <w:r>
        <w:rPr>
          <w:lang w:val="en-US"/>
        </w:rPr>
        <w:t>would trigger following form:</w:t>
      </w:r>
    </w:p>
    <w:p w:rsidR="00D22F98" w:rsidRDefault="00BB26ED" w:rsidP="00021356">
      <w:pPr>
        <w:jc w:val="center"/>
      </w:pPr>
      <w:r>
        <w:rPr>
          <w:noProof/>
          <w:lang w:eastAsia="pl-PL"/>
        </w:rPr>
        <w:drawing>
          <wp:inline distT="0" distB="0" distL="0" distR="0" wp14:anchorId="65B25ABB" wp14:editId="39E23933">
            <wp:extent cx="3667125" cy="1981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D5" w:rsidRPr="00BB26ED" w:rsidRDefault="004159D5" w:rsidP="006E1C7A">
      <w:pPr>
        <w:jc w:val="both"/>
        <w:rPr>
          <w:lang w:val="en-US"/>
        </w:rPr>
      </w:pPr>
      <w:r w:rsidRPr="004159D5">
        <w:rPr>
          <w:lang w:val="en-US"/>
        </w:rPr>
        <w:t>In the first field</w:t>
      </w:r>
      <w:r w:rsidR="00AB6595" w:rsidRPr="004159D5">
        <w:rPr>
          <w:lang w:val="en-US"/>
        </w:rPr>
        <w:t xml:space="preserve"> (</w:t>
      </w:r>
      <w:r w:rsidR="00AB6595" w:rsidRPr="004159D5">
        <w:rPr>
          <w:b/>
          <w:lang w:val="en-US"/>
        </w:rPr>
        <w:t>Y</w:t>
      </w:r>
      <w:r w:rsidR="006E1C7A" w:rsidRPr="004159D5">
        <w:rPr>
          <w:lang w:val="en-US"/>
        </w:rPr>
        <w:t xml:space="preserve">) </w:t>
      </w:r>
      <w:r w:rsidRPr="004159D5">
        <w:rPr>
          <w:lang w:val="en-US"/>
        </w:rPr>
        <w:t xml:space="preserve">reference to a data range shall be selected, </w:t>
      </w:r>
      <w:r w:rsidRPr="004159D5">
        <w:rPr>
          <w:b/>
          <w:i/>
          <w:lang w:val="en-US"/>
        </w:rPr>
        <w:t>seasonality</w:t>
      </w:r>
      <w:r w:rsidRPr="004159D5">
        <w:rPr>
          <w:lang w:val="en-US"/>
        </w:rPr>
        <w:t xml:space="preserve"> in line with basic </w:t>
      </w:r>
      <w:r w:rsidR="009D3709" w:rsidRPr="004159D5">
        <w:rPr>
          <w:lang w:val="en-US"/>
        </w:rPr>
        <w:t>intuition</w:t>
      </w:r>
      <w:r w:rsidRPr="004159D5">
        <w:rPr>
          <w:lang w:val="en-US"/>
        </w:rPr>
        <w:t xml:space="preserve"> states how many periods constitute one cycle (by default value is set for monthly data – 12 months constitute one year)</w:t>
      </w:r>
      <w:r w:rsidR="00BB26ED">
        <w:rPr>
          <w:lang w:val="en-US"/>
        </w:rPr>
        <w:t xml:space="preserve">. Finally </w:t>
      </w:r>
      <w:r w:rsidR="00BB26ED" w:rsidRPr="00BB26ED">
        <w:rPr>
          <w:b/>
          <w:i/>
          <w:lang w:val="en-US"/>
        </w:rPr>
        <w:t>first year</w:t>
      </w:r>
      <w:r w:rsidR="00BB26ED">
        <w:rPr>
          <w:b/>
          <w:lang w:val="en-US"/>
        </w:rPr>
        <w:t xml:space="preserve"> </w:t>
      </w:r>
      <w:r w:rsidR="00BB26ED">
        <w:rPr>
          <w:lang w:val="en-US"/>
        </w:rPr>
        <w:t>contains numeric value of first year in your data (e.g. 2005).</w:t>
      </w:r>
    </w:p>
    <w:p w:rsidR="00BB26ED" w:rsidRPr="00BB26ED" w:rsidRDefault="00BB26ED" w:rsidP="006E1C7A">
      <w:pPr>
        <w:jc w:val="both"/>
        <w:rPr>
          <w:lang w:val="en-US"/>
        </w:rPr>
      </w:pPr>
      <w:r w:rsidRPr="00BB26ED">
        <w:rPr>
          <w:lang w:val="en-US"/>
        </w:rPr>
        <w:t>Add in produces line chart, where all observation belonging to the same period are grouped together.</w:t>
      </w:r>
      <w:r>
        <w:rPr>
          <w:lang w:val="en-US"/>
        </w:rPr>
        <w:t xml:space="preserve"> Output of such exercise is visible below:</w:t>
      </w:r>
    </w:p>
    <w:p w:rsidR="00ED7928" w:rsidRDefault="00052FD6" w:rsidP="000C2D18">
      <w:pPr>
        <w:jc w:val="center"/>
      </w:pPr>
      <w:r>
        <w:rPr>
          <w:noProof/>
          <w:lang w:eastAsia="pl-PL"/>
        </w:rPr>
        <w:drawing>
          <wp:inline distT="0" distB="0" distL="0" distR="0" wp14:anchorId="4E5966B0" wp14:editId="56C53C63">
            <wp:extent cx="4572000" cy="2743200"/>
            <wp:effectExtent l="0" t="0" r="19050" b="1905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928" w:rsidRPr="000C2D18" w:rsidRDefault="000C2D18" w:rsidP="00ED7928">
      <w:pPr>
        <w:rPr>
          <w:lang w:val="en-US"/>
        </w:rPr>
      </w:pPr>
      <w:r>
        <w:rPr>
          <w:lang w:val="en-US"/>
        </w:rPr>
        <w:t>Despite default view may convey important information, there is a possibility that this chart would be unreadable. In the next chapter I would suggest few ways of enhancing such chart.</w:t>
      </w:r>
      <w:r w:rsidR="00ED7928" w:rsidRPr="000C2D18">
        <w:rPr>
          <w:lang w:val="en-US"/>
        </w:rPr>
        <w:br w:type="page"/>
      </w:r>
    </w:p>
    <w:p w:rsidR="009E49FA" w:rsidRPr="00942D41" w:rsidRDefault="00770FF8" w:rsidP="003122CF">
      <w:pPr>
        <w:pStyle w:val="Nagwek2"/>
        <w:rPr>
          <w:lang w:val="en-US"/>
        </w:rPr>
      </w:pPr>
      <w:bookmarkStart w:id="4" w:name="_Toc406673014"/>
      <w:r>
        <w:rPr>
          <w:lang w:val="en-US"/>
        </w:rPr>
        <w:lastRenderedPageBreak/>
        <w:t>Enhancing the Chart</w:t>
      </w:r>
      <w:bookmarkEnd w:id="4"/>
    </w:p>
    <w:p w:rsidR="00942D41" w:rsidRPr="00942D41" w:rsidRDefault="00942D41" w:rsidP="006E1C7A">
      <w:pPr>
        <w:jc w:val="both"/>
        <w:rPr>
          <w:lang w:val="en-US"/>
        </w:rPr>
      </w:pPr>
      <w:r w:rsidRPr="00942D41">
        <w:rPr>
          <w:lang w:val="en-US"/>
        </w:rPr>
        <w:t xml:space="preserve">As you can see in previous chapter seasonal plot produced by Macro Charts add-in is </w:t>
      </w:r>
      <w:r>
        <w:rPr>
          <w:lang w:val="en-US"/>
        </w:rPr>
        <w:t xml:space="preserve">in some case too unorganized to be functional. This is not a big deal, there are few steps, which allows you </w:t>
      </w:r>
      <w:r w:rsidR="0079071F">
        <w:rPr>
          <w:lang w:val="en-US"/>
        </w:rPr>
        <w:t>create much better outlook. They are as follows:</w:t>
      </w:r>
    </w:p>
    <w:p w:rsidR="007D12A1" w:rsidRPr="0079071F" w:rsidRDefault="0079071F" w:rsidP="007D12A1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9071F">
        <w:rPr>
          <w:lang w:val="en-US"/>
        </w:rPr>
        <w:t>Delete</w:t>
      </w:r>
      <w:r w:rsidR="007D12A1" w:rsidRPr="0079071F">
        <w:rPr>
          <w:lang w:val="en-US"/>
        </w:rPr>
        <w:t xml:space="preserve"> </w:t>
      </w:r>
      <w:r w:rsidRPr="0079071F">
        <w:rPr>
          <w:lang w:val="en-US"/>
        </w:rPr>
        <w:t xml:space="preserve">grid line </w:t>
      </w:r>
      <w:r w:rsidR="007D12A1" w:rsidRPr="0079071F">
        <w:rPr>
          <w:lang w:val="en-US"/>
        </w:rPr>
        <w:t>–</w:t>
      </w:r>
      <w:r w:rsidRPr="0079071F">
        <w:rPr>
          <w:lang w:val="en-US"/>
        </w:rPr>
        <w:t xml:space="preserve">just by pressing </w:t>
      </w:r>
      <w:r w:rsidR="007D12A1" w:rsidRPr="0079071F">
        <w:rPr>
          <w:b/>
          <w:lang w:val="en-US"/>
        </w:rPr>
        <w:t>delete</w:t>
      </w:r>
      <w:r w:rsidRPr="0079071F">
        <w:rPr>
          <w:b/>
          <w:lang w:val="en-US"/>
        </w:rPr>
        <w:t xml:space="preserve"> </w:t>
      </w:r>
      <w:r>
        <w:rPr>
          <w:lang w:val="en-US"/>
        </w:rPr>
        <w:t>at the grid</w:t>
      </w:r>
    </w:p>
    <w:p w:rsidR="007D12A1" w:rsidRPr="00185F0D" w:rsidRDefault="0079071F" w:rsidP="007D12A1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FC511E">
        <w:rPr>
          <w:lang w:val="en-US"/>
        </w:rPr>
        <w:t>Change chart t</w:t>
      </w:r>
      <w:r w:rsidR="00FC511E" w:rsidRPr="00FC511E">
        <w:rPr>
          <w:lang w:val="en-US"/>
        </w:rPr>
        <w:t>y</w:t>
      </w:r>
      <w:r w:rsidRPr="00FC511E">
        <w:rPr>
          <w:lang w:val="en-US"/>
        </w:rPr>
        <w:t>pe to column</w:t>
      </w:r>
      <w:r w:rsidR="00C205D5" w:rsidRPr="00FC511E">
        <w:rPr>
          <w:lang w:val="en-US"/>
        </w:rPr>
        <w:t>–</w:t>
      </w:r>
      <w:r w:rsidR="00FC511E" w:rsidRPr="00FC511E">
        <w:rPr>
          <w:lang w:val="en-US"/>
        </w:rPr>
        <w:t xml:space="preserve">right click on the area of the chart, and select </w:t>
      </w:r>
      <w:r w:rsidR="00C205D5" w:rsidRPr="00FC511E">
        <w:rPr>
          <w:i/>
          <w:lang w:val="en-US"/>
        </w:rPr>
        <w:t>‘</w:t>
      </w:r>
      <w:r w:rsidR="00FC511E">
        <w:rPr>
          <w:i/>
          <w:lang w:val="en-US"/>
        </w:rPr>
        <w:t>change chart type</w:t>
      </w:r>
      <w:r w:rsidR="00C205D5" w:rsidRPr="00FC511E">
        <w:rPr>
          <w:lang w:val="en-US"/>
        </w:rPr>
        <w:t xml:space="preserve">’. </w:t>
      </w:r>
      <w:r w:rsidR="00185F0D" w:rsidRPr="00185F0D">
        <w:rPr>
          <w:lang w:val="en-US"/>
        </w:rPr>
        <w:t>Then select the first column-chart (pictures unfortunately with polish interface):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509"/>
      </w:tblGrid>
      <w:tr w:rsidR="006751EC" w:rsidTr="006751EC">
        <w:tc>
          <w:tcPr>
            <w:tcW w:w="4606" w:type="dxa"/>
          </w:tcPr>
          <w:p w:rsidR="006751EC" w:rsidRDefault="006751EC" w:rsidP="006751EC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206347</wp:posOffset>
                      </wp:positionV>
                      <wp:extent cx="940904" cy="424070"/>
                      <wp:effectExtent l="38100" t="76200" r="12065" b="0"/>
                      <wp:wrapNone/>
                      <wp:docPr id="34" name="Strzałka w praw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62825">
                                <a:off x="0" y="0"/>
                                <a:ext cx="940904" cy="4240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34" o:spid="_x0000_s1026" type="#_x0000_t13" style="position:absolute;margin-left:222.85pt;margin-top:16.25pt;width:74.1pt;height:33.4pt;rotation:-58673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" adj="16732" fillcolor="#9bbb59 [3206]" strokecolor="#4e6128 [1606]" strokeweight="2pt"/>
                  </w:pict>
                </mc:Fallback>
              </mc:AlternateContent>
            </w:r>
            <w:r>
              <w:rPr>
                <w:noProof/>
                <w:lang w:eastAsia="pl-PL"/>
              </w:rPr>
              <w:drawing>
                <wp:inline distT="0" distB="0" distL="0" distR="0" wp14:anchorId="3C3EE8B1" wp14:editId="5471A5AB">
                  <wp:extent cx="2898012" cy="1421546"/>
                  <wp:effectExtent l="0" t="0" r="0" b="762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788" cy="142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751EC" w:rsidRDefault="006751EC" w:rsidP="006751EC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26ED6305" wp14:editId="7BFC7EBF">
                  <wp:extent cx="2683158" cy="1775011"/>
                  <wp:effectExtent l="0" t="0" r="317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070" cy="178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409" w:rsidRPr="002E204D" w:rsidRDefault="002E204D" w:rsidP="007D12A1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2E204D">
        <w:rPr>
          <w:lang w:val="en-US"/>
        </w:rPr>
        <w:t>Place the legend at the bottom of the chart</w:t>
      </w:r>
      <w:r w:rsidR="00953FA1" w:rsidRPr="002E204D">
        <w:rPr>
          <w:lang w:val="en-US"/>
        </w:rPr>
        <w:t xml:space="preserve">  - </w:t>
      </w:r>
      <w:r w:rsidRPr="002E204D">
        <w:rPr>
          <w:lang w:val="en-US"/>
        </w:rPr>
        <w:t>right click on the legend area and select</w:t>
      </w:r>
      <w:r w:rsidR="00CA4C6C" w:rsidRPr="002E204D">
        <w:rPr>
          <w:lang w:val="en-US"/>
        </w:rPr>
        <w:t xml:space="preserve"> </w:t>
      </w:r>
      <w:r>
        <w:rPr>
          <w:i/>
          <w:lang w:val="en-US"/>
        </w:rPr>
        <w:t>‘format legend</w:t>
      </w:r>
      <w:r w:rsidR="00CA4C6C" w:rsidRPr="002E204D">
        <w:rPr>
          <w:i/>
          <w:lang w:val="en-US"/>
        </w:rPr>
        <w:t>’</w:t>
      </w:r>
      <w:r w:rsidR="00CA4C6C" w:rsidRPr="002E204D">
        <w:rPr>
          <w:lang w:val="en-US"/>
        </w:rPr>
        <w:t xml:space="preserve">. </w:t>
      </w:r>
      <w:r w:rsidRPr="002E204D">
        <w:rPr>
          <w:lang w:val="en-US"/>
        </w:rPr>
        <w:t>First tab, which would appear is used to change the position (again polish interface on pictures)</w:t>
      </w:r>
      <w:r w:rsidR="007A4A2F" w:rsidRPr="002E204D">
        <w:rPr>
          <w:lang w:val="en-US"/>
        </w:rPr>
        <w:t>:</w:t>
      </w:r>
    </w:p>
    <w:p w:rsidR="00953FA1" w:rsidRDefault="00D00409" w:rsidP="00D00409">
      <w:pPr>
        <w:jc w:val="center"/>
      </w:pPr>
      <w:r>
        <w:rPr>
          <w:noProof/>
          <w:lang w:eastAsia="pl-PL"/>
        </w:rPr>
        <w:drawing>
          <wp:inline distT="0" distB="0" distL="0" distR="0" wp14:anchorId="0E621A63" wp14:editId="649AF059">
            <wp:extent cx="1918741" cy="1807033"/>
            <wp:effectExtent l="0" t="0" r="5715" b="317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1543" cy="18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FA1" w:rsidRPr="002E204D" w:rsidRDefault="002E204D" w:rsidP="00953FA1">
      <w:pPr>
        <w:jc w:val="both"/>
        <w:rPr>
          <w:lang w:val="en-US"/>
        </w:rPr>
      </w:pPr>
      <w:r w:rsidRPr="002E204D">
        <w:rPr>
          <w:lang w:val="en-US"/>
        </w:rPr>
        <w:t>Final effect of our work looks like this:</w:t>
      </w:r>
    </w:p>
    <w:p w:rsidR="00815AE2" w:rsidRDefault="00FC58B9" w:rsidP="00B9148C">
      <w:pPr>
        <w:jc w:val="center"/>
      </w:pPr>
      <w:r>
        <w:rPr>
          <w:noProof/>
          <w:lang w:eastAsia="pl-PL"/>
        </w:rPr>
        <w:drawing>
          <wp:inline distT="0" distB="0" distL="0" distR="0" wp14:anchorId="03B132F4" wp14:editId="3FFC5EFB">
            <wp:extent cx="4377128" cy="2413416"/>
            <wp:effectExtent l="0" t="0" r="23495" b="2540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5AE2" w:rsidRPr="00CF2F1B" w:rsidRDefault="00CF2F1B" w:rsidP="00815AE2">
      <w:pPr>
        <w:pStyle w:val="Nagwek1"/>
        <w:rPr>
          <w:lang w:val="en-US"/>
        </w:rPr>
      </w:pPr>
      <w:bookmarkStart w:id="5" w:name="_Toc406673015"/>
      <w:r w:rsidRPr="00CF2F1B">
        <w:rPr>
          <w:lang w:val="en-US"/>
        </w:rPr>
        <w:lastRenderedPageBreak/>
        <w:t>Scatter Plot – Cross Section Data</w:t>
      </w:r>
      <w:bookmarkEnd w:id="5"/>
    </w:p>
    <w:p w:rsidR="0082533E" w:rsidRPr="00CF2F1B" w:rsidRDefault="00CF2F1B" w:rsidP="00650B3D">
      <w:pPr>
        <w:jc w:val="both"/>
        <w:rPr>
          <w:lang w:val="en-US"/>
        </w:rPr>
      </w:pPr>
      <w:r w:rsidRPr="00CF2F1B">
        <w:rPr>
          <w:lang w:val="en-US"/>
        </w:rPr>
        <w:t>Selection of</w:t>
      </w:r>
      <w:r w:rsidR="0082533E" w:rsidRPr="00CF2F1B">
        <w:rPr>
          <w:lang w:val="en-US"/>
        </w:rPr>
        <w:t xml:space="preserve"> </w:t>
      </w:r>
      <w:r w:rsidR="0082533E" w:rsidRPr="00CF2F1B">
        <w:rPr>
          <w:b/>
          <w:i/>
          <w:lang w:val="en-US"/>
        </w:rPr>
        <w:t>Scatter Generator – cross section</w:t>
      </w:r>
      <w:r>
        <w:rPr>
          <w:b/>
          <w:i/>
          <w:lang w:val="en-US"/>
        </w:rPr>
        <w:t xml:space="preserve"> </w:t>
      </w:r>
      <w:r w:rsidRPr="00CF2F1B">
        <w:rPr>
          <w:lang w:val="en-US"/>
        </w:rPr>
        <w:t>option</w:t>
      </w:r>
      <w:r w:rsidR="0082533E" w:rsidRPr="00CF2F1B">
        <w:rPr>
          <w:b/>
          <w:i/>
          <w:lang w:val="en-US"/>
        </w:rPr>
        <w:t>,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or pressing</w:t>
      </w:r>
      <w:r w:rsidR="0082533E" w:rsidRPr="00CF2F1B">
        <w:rPr>
          <w:lang w:val="en-US"/>
        </w:rPr>
        <w:t xml:space="preserve"> </w:t>
      </w:r>
      <w:r w:rsidR="0082533E" w:rsidRPr="00CF2F1B">
        <w:rPr>
          <w:b/>
          <w:lang w:val="en-US"/>
        </w:rPr>
        <w:t xml:space="preserve">ALT + SHIFT + F4 </w:t>
      </w:r>
      <w:r>
        <w:rPr>
          <w:lang w:val="en-US"/>
        </w:rPr>
        <w:t>would trigger following form: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6"/>
      </w:tblGrid>
      <w:tr w:rsidR="00266478" w:rsidTr="00266478">
        <w:tc>
          <w:tcPr>
            <w:tcW w:w="4606" w:type="dxa"/>
          </w:tcPr>
          <w:p w:rsidR="00266478" w:rsidRDefault="002E570D" w:rsidP="0082533E">
            <w:r>
              <w:rPr>
                <w:noProof/>
                <w:lang w:eastAsia="pl-PL"/>
              </w:rPr>
              <w:drawing>
                <wp:inline distT="0" distB="0" distL="0" distR="0" wp14:anchorId="473731FF" wp14:editId="2B85EABD">
                  <wp:extent cx="2895600" cy="1932444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095" cy="194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66478" w:rsidRDefault="008F1193" w:rsidP="0082533E">
            <w:r>
              <w:rPr>
                <w:noProof/>
                <w:lang w:eastAsia="pl-PL"/>
              </w:rPr>
              <w:drawing>
                <wp:inline distT="0" distB="0" distL="0" distR="0" wp14:anchorId="1F575156" wp14:editId="4086B8DB">
                  <wp:extent cx="2885440" cy="192566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769" cy="193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33E" w:rsidRPr="00D51704" w:rsidRDefault="003113B0" w:rsidP="007B655D">
      <w:pPr>
        <w:jc w:val="both"/>
        <w:rPr>
          <w:lang w:val="en-US"/>
        </w:rPr>
      </w:pPr>
      <w:r w:rsidRPr="00D51704">
        <w:rPr>
          <w:lang w:val="en-US"/>
        </w:rPr>
        <w:t>First panel allows you to create</w:t>
      </w:r>
      <w:r w:rsidR="00D51704" w:rsidRPr="00D51704">
        <w:rPr>
          <w:lang w:val="en-US"/>
        </w:rPr>
        <w:t xml:space="preserve"> a chart from scratch</w:t>
      </w:r>
      <w:r w:rsidR="00513339" w:rsidRPr="00D51704">
        <w:rPr>
          <w:lang w:val="en-US"/>
        </w:rPr>
        <w:t>,</w:t>
      </w:r>
      <w:r w:rsidR="00837B19" w:rsidRPr="00D51704">
        <w:rPr>
          <w:lang w:val="en-US"/>
        </w:rPr>
        <w:t xml:space="preserve"> </w:t>
      </w:r>
      <w:r w:rsidR="00D51704" w:rsidRPr="00D51704">
        <w:rPr>
          <w:lang w:val="en-US"/>
        </w:rPr>
        <w:t>fields</w:t>
      </w:r>
      <w:r w:rsidR="00837B19" w:rsidRPr="00D51704">
        <w:rPr>
          <w:lang w:val="en-US"/>
        </w:rPr>
        <w:t xml:space="preserve"> </w:t>
      </w:r>
      <w:r w:rsidR="00837B19" w:rsidRPr="00D51704">
        <w:rPr>
          <w:b/>
          <w:lang w:val="en-US"/>
        </w:rPr>
        <w:t>X</w:t>
      </w:r>
      <w:r w:rsidR="00837B19" w:rsidRPr="00D51704">
        <w:rPr>
          <w:lang w:val="en-US"/>
        </w:rPr>
        <w:t xml:space="preserve"> </w:t>
      </w:r>
      <w:r w:rsidR="005026F8">
        <w:rPr>
          <w:lang w:val="en-US"/>
        </w:rPr>
        <w:t>and</w:t>
      </w:r>
      <w:r w:rsidR="00837B19" w:rsidRPr="00D51704">
        <w:rPr>
          <w:lang w:val="en-US"/>
        </w:rPr>
        <w:t xml:space="preserve"> </w:t>
      </w:r>
      <w:r w:rsidR="00837B19" w:rsidRPr="00D51704">
        <w:rPr>
          <w:b/>
          <w:lang w:val="en-US"/>
        </w:rPr>
        <w:t>Y</w:t>
      </w:r>
      <w:r w:rsidR="00D51704" w:rsidRPr="00D51704">
        <w:rPr>
          <w:lang w:val="en-US"/>
        </w:rPr>
        <w:t xml:space="preserve"> are the coordinates of two scales</w:t>
      </w:r>
      <w:r w:rsidR="00FD1880" w:rsidRPr="00D51704">
        <w:rPr>
          <w:lang w:val="en-US"/>
        </w:rPr>
        <w:t xml:space="preserve">, </w:t>
      </w:r>
      <w:r w:rsidR="00F959C1" w:rsidRPr="00D51704">
        <w:rPr>
          <w:b/>
          <w:lang w:val="en-US"/>
        </w:rPr>
        <w:t xml:space="preserve">Labels </w:t>
      </w:r>
      <w:r w:rsidR="00D51704" w:rsidRPr="00D51704">
        <w:rPr>
          <w:lang w:val="en-US"/>
        </w:rPr>
        <w:t>shall indicate values</w:t>
      </w:r>
      <w:r w:rsidR="00D51704">
        <w:rPr>
          <w:lang w:val="en-US"/>
        </w:rPr>
        <w:t>,</w:t>
      </w:r>
      <w:r w:rsidR="00D51704" w:rsidRPr="00D51704">
        <w:rPr>
          <w:lang w:val="en-US"/>
        </w:rPr>
        <w:t xml:space="preserve"> which</w:t>
      </w:r>
      <w:r w:rsidR="00D51704">
        <w:rPr>
          <w:lang w:val="en-US"/>
        </w:rPr>
        <w:t xml:space="preserve"> would be an identification of the element (country code, share ticker etc</w:t>
      </w:r>
      <w:r w:rsidR="005026F8">
        <w:rPr>
          <w:lang w:val="en-US"/>
        </w:rPr>
        <w:t>.</w:t>
      </w:r>
      <w:r w:rsidR="00D51704">
        <w:rPr>
          <w:lang w:val="en-US"/>
        </w:rPr>
        <w:t>).</w:t>
      </w:r>
    </w:p>
    <w:p w:rsidR="00E53797" w:rsidRPr="008D0FC6" w:rsidRDefault="008D0FC6" w:rsidP="007B655D">
      <w:pPr>
        <w:jc w:val="both"/>
        <w:rPr>
          <w:lang w:val="en-US"/>
        </w:rPr>
      </w:pPr>
      <w:r w:rsidRPr="008D0FC6">
        <w:rPr>
          <w:lang w:val="en-US"/>
        </w:rPr>
        <w:t xml:space="preserve">Second panel allows you to change </w:t>
      </w:r>
      <w:r>
        <w:rPr>
          <w:lang w:val="en-US"/>
        </w:rPr>
        <w:t>graph</w:t>
      </w:r>
      <w:r w:rsidRPr="008D0FC6">
        <w:rPr>
          <w:lang w:val="en-US"/>
        </w:rPr>
        <w:t xml:space="preserve"> layout</w:t>
      </w:r>
      <w:r w:rsidR="00382668" w:rsidRPr="008D0FC6">
        <w:rPr>
          <w:lang w:val="en-US"/>
        </w:rPr>
        <w:t xml:space="preserve"> (</w:t>
      </w:r>
      <w:r w:rsidRPr="008D0FC6">
        <w:rPr>
          <w:lang w:val="en-US"/>
        </w:rPr>
        <w:t>changing</w:t>
      </w:r>
      <w:r w:rsidR="00382668" w:rsidRPr="008D0FC6">
        <w:rPr>
          <w:lang w:val="en-US"/>
        </w:rPr>
        <w:t xml:space="preserve"> X </w:t>
      </w:r>
      <w:r>
        <w:rPr>
          <w:lang w:val="en-US"/>
        </w:rPr>
        <w:t>axis with</w:t>
      </w:r>
      <w:r w:rsidR="00382668" w:rsidRPr="008D0FC6">
        <w:rPr>
          <w:lang w:val="en-US"/>
        </w:rPr>
        <w:t xml:space="preserve"> Y </w:t>
      </w:r>
      <w:r>
        <w:rPr>
          <w:lang w:val="en-US"/>
        </w:rPr>
        <w:t>axis and vice versa</w:t>
      </w:r>
      <w:r w:rsidR="00382668" w:rsidRPr="008D0FC6">
        <w:rPr>
          <w:lang w:val="en-US"/>
        </w:rPr>
        <w:t>)</w:t>
      </w:r>
      <w:r w:rsidR="00E53797" w:rsidRPr="008D0FC6">
        <w:rPr>
          <w:lang w:val="en-US"/>
        </w:rPr>
        <w:t xml:space="preserve">, </w:t>
      </w:r>
      <w:r w:rsidR="000906B3">
        <w:rPr>
          <w:lang w:val="en-US"/>
        </w:rPr>
        <w:t>or rotating the scale (from positive to negative or vice versa) for both scales</w:t>
      </w:r>
      <w:r w:rsidR="00E53797" w:rsidRPr="008D0FC6">
        <w:rPr>
          <w:lang w:val="en-US"/>
        </w:rPr>
        <w:t>.</w:t>
      </w:r>
    </w:p>
    <w:p w:rsidR="00A863F7" w:rsidRPr="000906B3" w:rsidRDefault="000906B3" w:rsidP="007B655D">
      <w:pPr>
        <w:jc w:val="both"/>
        <w:rPr>
          <w:lang w:val="en-US"/>
        </w:rPr>
      </w:pPr>
      <w:r w:rsidRPr="000906B3">
        <w:rPr>
          <w:lang w:val="en-US"/>
        </w:rPr>
        <w:t>Exemplary scatter plot is presented below:</w:t>
      </w:r>
    </w:p>
    <w:p w:rsidR="007B655D" w:rsidRDefault="007B655D" w:rsidP="0044324F">
      <w:pPr>
        <w:jc w:val="center"/>
      </w:pPr>
      <w:r>
        <w:rPr>
          <w:noProof/>
          <w:lang w:eastAsia="pl-PL"/>
        </w:rPr>
        <w:drawing>
          <wp:inline distT="0" distB="0" distL="0" distR="0" wp14:anchorId="7B915707" wp14:editId="406CBBAC">
            <wp:extent cx="4572000" cy="2743200"/>
            <wp:effectExtent l="0" t="0" r="19050" b="19050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558F0" w:rsidRPr="000906B3" w:rsidRDefault="000906B3" w:rsidP="00F558F0">
      <w:pPr>
        <w:rPr>
          <w:lang w:val="en-US"/>
        </w:rPr>
      </w:pPr>
      <w:r w:rsidRPr="000906B3">
        <w:rPr>
          <w:lang w:val="en-US"/>
        </w:rPr>
        <w:t>Like in case of seasonal plot, there is</w:t>
      </w:r>
      <w:r>
        <w:rPr>
          <w:lang w:val="en-US"/>
        </w:rPr>
        <w:t xml:space="preserve"> also a f</w:t>
      </w:r>
      <w:r w:rsidRPr="000906B3">
        <w:rPr>
          <w:lang w:val="en-US"/>
        </w:rPr>
        <w:t>ew</w:t>
      </w:r>
      <w:r>
        <w:rPr>
          <w:lang w:val="en-US"/>
        </w:rPr>
        <w:t xml:space="preserve"> tricks helping enhance the final chart design.</w:t>
      </w:r>
    </w:p>
    <w:p w:rsidR="0051714E" w:rsidRPr="000906B3" w:rsidRDefault="0051714E">
      <w:pPr>
        <w:rPr>
          <w:lang w:val="en-US"/>
        </w:rPr>
      </w:pPr>
      <w:r w:rsidRPr="000906B3">
        <w:rPr>
          <w:lang w:val="en-US"/>
        </w:rPr>
        <w:br w:type="page"/>
      </w:r>
    </w:p>
    <w:p w:rsidR="0051714E" w:rsidRPr="007C32BA" w:rsidRDefault="00BF39C5" w:rsidP="0051714E">
      <w:pPr>
        <w:pStyle w:val="Nagwek2"/>
        <w:rPr>
          <w:lang w:val="en-US"/>
        </w:rPr>
      </w:pPr>
      <w:bookmarkStart w:id="6" w:name="_Toc406673016"/>
      <w:r w:rsidRPr="007C32BA">
        <w:rPr>
          <w:lang w:val="en-US"/>
        </w:rPr>
        <w:lastRenderedPageBreak/>
        <w:t>Enhancing the Chart</w:t>
      </w:r>
      <w:bookmarkEnd w:id="6"/>
    </w:p>
    <w:p w:rsidR="007C32BA" w:rsidRPr="007C32BA" w:rsidRDefault="007C32BA" w:rsidP="006C5AA4">
      <w:pPr>
        <w:jc w:val="both"/>
        <w:rPr>
          <w:lang w:val="en-US"/>
        </w:rPr>
      </w:pPr>
      <w:r w:rsidRPr="007C32BA">
        <w:rPr>
          <w:lang w:val="en-US"/>
        </w:rPr>
        <w:t>To improve quality</w:t>
      </w:r>
      <w:r>
        <w:rPr>
          <w:lang w:val="en-US"/>
        </w:rPr>
        <w:t xml:space="preserve"> of created chart, basic Excel’s formatting options are sufficient – as the first step we would  change the scale of produced chart. To do so, just right-click on the scale and select </w:t>
      </w:r>
      <w:r>
        <w:rPr>
          <w:i/>
          <w:lang w:val="en-US"/>
        </w:rPr>
        <w:t>format axis</w:t>
      </w:r>
      <w:r>
        <w:rPr>
          <w:lang w:val="en-US"/>
        </w:rPr>
        <w:t>. In the following menu select automatic shape of two axis or change it manually; Results are provided below:</w:t>
      </w:r>
    </w:p>
    <w:tbl>
      <w:tblPr>
        <w:tblStyle w:val="Tabela-Siatka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4880"/>
      </w:tblGrid>
      <w:tr w:rsidR="00C938FD" w:rsidTr="007C32BA">
        <w:tc>
          <w:tcPr>
            <w:tcW w:w="4370" w:type="dxa"/>
          </w:tcPr>
          <w:p w:rsidR="00C938FD" w:rsidRDefault="00F34886" w:rsidP="006C5AA4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CFE2D" wp14:editId="5E9FCBFA">
                      <wp:simplePos x="0" y="0"/>
                      <wp:positionH relativeFrom="column">
                        <wp:posOffset>1291214</wp:posOffset>
                      </wp:positionH>
                      <wp:positionV relativeFrom="paragraph">
                        <wp:posOffset>627858</wp:posOffset>
                      </wp:positionV>
                      <wp:extent cx="645459" cy="245889"/>
                      <wp:effectExtent l="142557" t="0" r="126048" b="0"/>
                      <wp:wrapNone/>
                      <wp:docPr id="41" name="Strzałka w lew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68309">
                                <a:off x="0" y="0"/>
                                <a:ext cx="645459" cy="24588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trzałka w lewo 41" o:spid="_x0000_s1026" type="#_x0000_t66" style="position:absolute;margin-left:101.65pt;margin-top:49.45pt;width:50.8pt;height:19.35pt;rotation:870351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" adj="4114" fillcolor="#f79646 [3209]" strokecolor="#974706 [1609]" strokeweight="2pt"/>
                  </w:pict>
                </mc:Fallback>
              </mc:AlternateContent>
            </w:r>
            <w:r w:rsidR="00C938FD">
              <w:rPr>
                <w:noProof/>
                <w:lang w:eastAsia="pl-PL"/>
              </w:rPr>
              <w:drawing>
                <wp:inline distT="0" distB="0" distL="0" distR="0" wp14:anchorId="33612889" wp14:editId="315CED22">
                  <wp:extent cx="2607261" cy="2382050"/>
                  <wp:effectExtent l="0" t="0" r="3175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960" cy="238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</w:tcPr>
          <w:p w:rsidR="00C938FD" w:rsidRDefault="00AB7EE1" w:rsidP="006C5AA4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5501F144" wp14:editId="46919538">
                  <wp:extent cx="2989089" cy="2328262"/>
                  <wp:effectExtent l="0" t="0" r="20955" b="15240"/>
                  <wp:docPr id="40" name="Wykres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C938FD" w:rsidRPr="00DE033F" w:rsidRDefault="00DE033F" w:rsidP="006C5AA4">
      <w:pPr>
        <w:jc w:val="both"/>
        <w:rPr>
          <w:lang w:val="en-US"/>
        </w:rPr>
      </w:pPr>
      <w:r w:rsidRPr="00DE033F">
        <w:rPr>
          <w:lang w:val="en-US"/>
        </w:rPr>
        <w:t>In the next step go to the Chart Tools</w:t>
      </w:r>
      <w:r w:rsidR="00072885" w:rsidRPr="00DE033F">
        <w:rPr>
          <w:lang w:val="en-US"/>
        </w:rPr>
        <w:t xml:space="preserve"> -&gt; </w:t>
      </w:r>
      <w:r>
        <w:rPr>
          <w:i/>
          <w:lang w:val="en-US"/>
        </w:rPr>
        <w:t>Layout</w:t>
      </w:r>
      <w:r w:rsidR="00072885" w:rsidRPr="00DE033F">
        <w:rPr>
          <w:lang w:val="en-US"/>
        </w:rPr>
        <w:t xml:space="preserve">-&gt; </w:t>
      </w:r>
      <w:r>
        <w:rPr>
          <w:i/>
          <w:lang w:val="en-US"/>
        </w:rPr>
        <w:t>Axis title</w:t>
      </w:r>
      <w:r w:rsidR="00773C44" w:rsidRPr="00DE033F">
        <w:rPr>
          <w:i/>
          <w:lang w:val="en-US"/>
        </w:rPr>
        <w:t xml:space="preserve">. </w:t>
      </w:r>
      <w:r w:rsidRPr="00DE033F">
        <w:rPr>
          <w:lang w:val="en-US"/>
        </w:rPr>
        <w:t>Then add titles to both axis, you may</w:t>
      </w:r>
      <w:r>
        <w:rPr>
          <w:lang w:val="en-US"/>
        </w:rPr>
        <w:t xml:space="preserve"> also add trend line and R-squar</w:t>
      </w:r>
      <w:r w:rsidRPr="00DE033F">
        <w:rPr>
          <w:lang w:val="en-US"/>
        </w:rPr>
        <w:t xml:space="preserve">ed </w:t>
      </w:r>
      <w:r>
        <w:rPr>
          <w:lang w:val="en-US"/>
        </w:rPr>
        <w:t xml:space="preserve"> coefficient if you wish.</w:t>
      </w:r>
    </w:p>
    <w:p w:rsidR="00072885" w:rsidRDefault="00072885" w:rsidP="006C5AA4">
      <w:pPr>
        <w:jc w:val="both"/>
      </w:pPr>
      <w:r>
        <w:rPr>
          <w:noProof/>
          <w:lang w:eastAsia="pl-PL"/>
        </w:rPr>
        <w:drawing>
          <wp:inline distT="0" distB="0" distL="0" distR="0">
            <wp:extent cx="5753100" cy="790575"/>
            <wp:effectExtent l="0" t="0" r="0" b="952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44" w:rsidRPr="00AD18DA" w:rsidRDefault="00AD18DA" w:rsidP="006C5AA4">
      <w:pPr>
        <w:jc w:val="both"/>
        <w:rPr>
          <w:lang w:val="en-US"/>
        </w:rPr>
      </w:pPr>
      <w:r w:rsidRPr="00AD18DA">
        <w:rPr>
          <w:lang w:val="en-US"/>
        </w:rPr>
        <w:t>Final chart (with polish language) is presented below</w:t>
      </w:r>
      <w:r>
        <w:rPr>
          <w:lang w:val="en-US"/>
        </w:rPr>
        <w:t>:</w:t>
      </w:r>
    </w:p>
    <w:p w:rsidR="00C76BC5" w:rsidRDefault="00B5143F" w:rsidP="00B5143F">
      <w:pPr>
        <w:jc w:val="center"/>
      </w:pPr>
      <w:r>
        <w:rPr>
          <w:noProof/>
          <w:lang w:eastAsia="pl-PL"/>
        </w:rPr>
        <w:drawing>
          <wp:inline distT="0" distB="0" distL="0" distR="0" wp14:anchorId="07E1979B" wp14:editId="3398C654">
            <wp:extent cx="4572000" cy="2743200"/>
            <wp:effectExtent l="0" t="0" r="19050" b="19050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143F" w:rsidRDefault="00C76BC5" w:rsidP="00C76BC5">
      <w:r>
        <w:br w:type="page"/>
      </w:r>
    </w:p>
    <w:p w:rsidR="00EC7A94" w:rsidRPr="0037030F" w:rsidRDefault="00547DF2" w:rsidP="00EC7A94">
      <w:pPr>
        <w:pStyle w:val="Nagwek2"/>
        <w:rPr>
          <w:lang w:val="en-US"/>
        </w:rPr>
      </w:pPr>
      <w:bookmarkStart w:id="7" w:name="_Toc406673017"/>
      <w:r w:rsidRPr="0037030F">
        <w:rPr>
          <w:lang w:val="en-US"/>
        </w:rPr>
        <w:lastRenderedPageBreak/>
        <w:t>Known Issues</w:t>
      </w:r>
      <w:bookmarkEnd w:id="7"/>
    </w:p>
    <w:p w:rsidR="0037030F" w:rsidRPr="0037030F" w:rsidRDefault="0037030F" w:rsidP="00DB2DCF">
      <w:pPr>
        <w:rPr>
          <w:lang w:val="en-US"/>
        </w:rPr>
      </w:pPr>
      <w:r w:rsidRPr="0037030F">
        <w:rPr>
          <w:lang w:val="en-US"/>
        </w:rPr>
        <w:t>In older versions of Excel there is a possibility that first element would not be correctly labeled (label remains empty)</w:t>
      </w:r>
      <w:r>
        <w:rPr>
          <w:lang w:val="en-US"/>
        </w:rPr>
        <w:t>. Such malfunction can be corrected manually.</w:t>
      </w:r>
    </w:p>
    <w:p w:rsidR="0037030F" w:rsidRPr="0037030F" w:rsidRDefault="0037030F" w:rsidP="00DB2DCF">
      <w:pPr>
        <w:rPr>
          <w:lang w:val="en-US"/>
        </w:rPr>
      </w:pPr>
    </w:p>
    <w:p w:rsidR="00DB2DCF" w:rsidRPr="0037030F" w:rsidRDefault="0037030F" w:rsidP="00DB2DCF">
      <w:pPr>
        <w:rPr>
          <w:lang w:val="en-US"/>
        </w:rPr>
      </w:pPr>
      <w:r w:rsidRPr="0037030F">
        <w:rPr>
          <w:lang w:val="en-US"/>
        </w:rPr>
        <w:br w:type="page"/>
      </w:r>
    </w:p>
    <w:p w:rsidR="00B5432A" w:rsidRDefault="00B1692F" w:rsidP="00B5432A">
      <w:pPr>
        <w:pStyle w:val="Nagwek1"/>
      </w:pPr>
      <w:bookmarkStart w:id="8" w:name="_Toc406673018"/>
      <w:r>
        <w:lastRenderedPageBreak/>
        <w:t>Scatter Plot – Time Series</w:t>
      </w:r>
      <w:bookmarkEnd w:id="8"/>
    </w:p>
    <w:p w:rsidR="00A10187" w:rsidRPr="005810DC" w:rsidRDefault="005810DC" w:rsidP="005810DC">
      <w:pPr>
        <w:jc w:val="both"/>
        <w:rPr>
          <w:lang w:val="en-US"/>
        </w:rPr>
      </w:pPr>
      <w:r w:rsidRPr="005810DC">
        <w:rPr>
          <w:lang w:val="en-US"/>
        </w:rPr>
        <w:t>Selection of</w:t>
      </w:r>
      <w:r w:rsidR="00A10187" w:rsidRPr="005810DC">
        <w:rPr>
          <w:lang w:val="en-US"/>
        </w:rPr>
        <w:t xml:space="preserve"> </w:t>
      </w:r>
      <w:r w:rsidR="00A10187" w:rsidRPr="005810DC">
        <w:rPr>
          <w:b/>
          <w:i/>
          <w:lang w:val="en-US"/>
        </w:rPr>
        <w:t xml:space="preserve">Scatter Generator – </w:t>
      </w:r>
      <w:r w:rsidR="00EB1DC6" w:rsidRPr="005810DC">
        <w:rPr>
          <w:b/>
          <w:i/>
          <w:lang w:val="en-US"/>
        </w:rPr>
        <w:t>time series</w:t>
      </w:r>
      <w:r w:rsidRPr="005810DC">
        <w:rPr>
          <w:b/>
          <w:i/>
          <w:lang w:val="en-US"/>
        </w:rPr>
        <w:t xml:space="preserve"> </w:t>
      </w:r>
      <w:r w:rsidRPr="005810DC">
        <w:rPr>
          <w:lang w:val="en-US"/>
        </w:rPr>
        <w:t>option</w:t>
      </w:r>
      <w:r w:rsidR="00A10187" w:rsidRPr="005810DC">
        <w:rPr>
          <w:b/>
          <w:i/>
          <w:lang w:val="en-US"/>
        </w:rPr>
        <w:t xml:space="preserve">, </w:t>
      </w:r>
      <w:r w:rsidRPr="005810DC">
        <w:rPr>
          <w:lang w:val="en-US"/>
        </w:rPr>
        <w:t>or pressing</w:t>
      </w:r>
      <w:r w:rsidR="00A10187" w:rsidRPr="005810DC">
        <w:rPr>
          <w:lang w:val="en-US"/>
        </w:rPr>
        <w:t xml:space="preserve"> </w:t>
      </w:r>
      <w:r w:rsidR="00A10187" w:rsidRPr="005810DC">
        <w:rPr>
          <w:b/>
          <w:lang w:val="en-US"/>
        </w:rPr>
        <w:t>CTRL</w:t>
      </w:r>
      <w:r w:rsidR="00A10187" w:rsidRPr="005810DC">
        <w:rPr>
          <w:lang w:val="en-US"/>
        </w:rPr>
        <w:t xml:space="preserve"> </w:t>
      </w:r>
      <w:r w:rsidR="00A10187" w:rsidRPr="005810DC">
        <w:rPr>
          <w:b/>
          <w:lang w:val="en-US"/>
        </w:rPr>
        <w:t xml:space="preserve">+ ALT + </w:t>
      </w:r>
      <w:r>
        <w:rPr>
          <w:b/>
          <w:lang w:val="en-US"/>
        </w:rPr>
        <w:t>would trigger following form</w:t>
      </w:r>
      <w:r w:rsidR="00650B3D" w:rsidRPr="005810DC">
        <w:rPr>
          <w:lang w:val="en-US"/>
        </w:rPr>
        <w:t>:</w:t>
      </w:r>
    </w:p>
    <w:p w:rsidR="00A10187" w:rsidRDefault="001059E5" w:rsidP="00734DA7">
      <w:pPr>
        <w:jc w:val="center"/>
      </w:pPr>
      <w:r>
        <w:rPr>
          <w:noProof/>
          <w:lang w:eastAsia="pl-PL"/>
        </w:rPr>
        <w:drawing>
          <wp:inline distT="0" distB="0" distL="0" distR="0" wp14:anchorId="14C8D0B7" wp14:editId="34BBEC16">
            <wp:extent cx="3667125" cy="25717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5EF" w:rsidRDefault="00A907D4" w:rsidP="00A9781E">
      <w:pPr>
        <w:jc w:val="both"/>
        <w:rPr>
          <w:lang w:val="en-US"/>
        </w:rPr>
      </w:pPr>
      <w:r w:rsidRPr="007A65EF">
        <w:rPr>
          <w:lang w:val="en-US"/>
        </w:rPr>
        <w:t>As in case of cross-sectional scatter plot similarly here</w:t>
      </w:r>
      <w:r w:rsidR="00A9781E" w:rsidRPr="007A65EF">
        <w:rPr>
          <w:lang w:val="en-US"/>
        </w:rPr>
        <w:t xml:space="preserve"> </w:t>
      </w:r>
      <w:r w:rsidR="00A9781E" w:rsidRPr="007A65EF">
        <w:rPr>
          <w:b/>
          <w:lang w:val="en-US"/>
        </w:rPr>
        <w:t>X</w:t>
      </w:r>
      <w:r w:rsidRPr="007A65EF">
        <w:rPr>
          <w:lang w:val="en-US"/>
        </w:rPr>
        <w:t xml:space="preserve"> and</w:t>
      </w:r>
      <w:r w:rsidR="00A9781E" w:rsidRPr="007A65EF">
        <w:rPr>
          <w:lang w:val="en-US"/>
        </w:rPr>
        <w:t xml:space="preserve"> </w:t>
      </w:r>
      <w:r w:rsidR="00A9781E" w:rsidRPr="007A65EF">
        <w:rPr>
          <w:b/>
          <w:lang w:val="en-US"/>
        </w:rPr>
        <w:t>Y</w:t>
      </w:r>
      <w:r w:rsidR="00A9781E" w:rsidRPr="007A65EF">
        <w:rPr>
          <w:lang w:val="en-US"/>
        </w:rPr>
        <w:t xml:space="preserve"> </w:t>
      </w:r>
      <w:r w:rsidRPr="007A65EF">
        <w:rPr>
          <w:lang w:val="en-US"/>
        </w:rPr>
        <w:t>shall contain two equally-lengthen</w:t>
      </w:r>
      <w:r w:rsidR="007A65EF" w:rsidRPr="007A65EF">
        <w:rPr>
          <w:lang w:val="en-US"/>
        </w:rPr>
        <w:t xml:space="preserve"> series</w:t>
      </w:r>
      <w:r w:rsidR="00A9781E" w:rsidRPr="007A65EF">
        <w:rPr>
          <w:lang w:val="en-US"/>
        </w:rPr>
        <w:t>,</w:t>
      </w:r>
      <w:r w:rsidR="007A65EF" w:rsidRPr="007A65EF">
        <w:rPr>
          <w:lang w:val="en-US"/>
        </w:rPr>
        <w:t xml:space="preserve"> which we wish to pair</w:t>
      </w:r>
      <w:r w:rsidR="00A9781E" w:rsidRPr="007A65EF">
        <w:rPr>
          <w:lang w:val="en-US"/>
        </w:rPr>
        <w:t xml:space="preserve"> </w:t>
      </w:r>
      <w:r w:rsidR="007A65EF" w:rsidRPr="007A65EF">
        <w:rPr>
          <w:b/>
          <w:lang w:val="en-US"/>
        </w:rPr>
        <w:t xml:space="preserve">Seasonality </w:t>
      </w:r>
      <w:r w:rsidR="007A65EF" w:rsidRPr="007A65EF">
        <w:rPr>
          <w:lang w:val="en-US"/>
        </w:rPr>
        <w:t>indicates how many periods constitute one cycle</w:t>
      </w:r>
      <w:r w:rsidR="00A9781E" w:rsidRPr="007A65EF">
        <w:rPr>
          <w:lang w:val="en-US"/>
        </w:rPr>
        <w:t xml:space="preserve"> (</w:t>
      </w:r>
      <w:r w:rsidR="007A65EF">
        <w:rPr>
          <w:lang w:val="en-US"/>
        </w:rPr>
        <w:t>by default 12 months constituting one year are selected</w:t>
      </w:r>
      <w:r w:rsidR="00A9781E" w:rsidRPr="007A65EF">
        <w:rPr>
          <w:lang w:val="en-US"/>
        </w:rPr>
        <w:t>).</w:t>
      </w:r>
      <w:r w:rsidR="007A65EF" w:rsidRPr="007A65EF">
        <w:rPr>
          <w:lang w:val="en-US"/>
        </w:rPr>
        <w:t xml:space="preserve"> In case of field</w:t>
      </w:r>
      <w:r w:rsidR="00A9781E" w:rsidRPr="007A65EF">
        <w:rPr>
          <w:lang w:val="en-US"/>
        </w:rPr>
        <w:t xml:space="preserve"> </w:t>
      </w:r>
      <w:r w:rsidR="007A65EF" w:rsidRPr="007A65EF">
        <w:rPr>
          <w:b/>
          <w:lang w:val="en-US"/>
        </w:rPr>
        <w:t>first year</w:t>
      </w:r>
      <w:r w:rsidR="007A65EF" w:rsidRPr="007A65EF">
        <w:rPr>
          <w:lang w:val="en-US"/>
        </w:rPr>
        <w:t xml:space="preserve"> numeric value shall be presented</w:t>
      </w:r>
      <w:r w:rsidR="007A65EF">
        <w:rPr>
          <w:lang w:val="en-US"/>
        </w:rPr>
        <w:t xml:space="preserve"> (similarly like in case of seasonal plot)</w:t>
      </w:r>
      <w:r w:rsidR="00A9781E" w:rsidRPr="007A65EF">
        <w:rPr>
          <w:lang w:val="en-US"/>
        </w:rPr>
        <w:t>.</w:t>
      </w:r>
    </w:p>
    <w:p w:rsidR="00D4506B" w:rsidRPr="007A65EF" w:rsidRDefault="007A65EF" w:rsidP="00A9781E">
      <w:pPr>
        <w:jc w:val="both"/>
        <w:rPr>
          <w:lang w:val="en-US"/>
        </w:rPr>
      </w:pPr>
      <w:r>
        <w:rPr>
          <w:lang w:val="en-US"/>
        </w:rPr>
        <w:t>Exemplary chart is presented below:</w:t>
      </w:r>
    </w:p>
    <w:p w:rsidR="00D4506B" w:rsidRDefault="00D4506B" w:rsidP="00D4506B">
      <w:pPr>
        <w:jc w:val="center"/>
      </w:pPr>
      <w:r>
        <w:rPr>
          <w:noProof/>
          <w:lang w:eastAsia="pl-PL"/>
        </w:rPr>
        <w:drawing>
          <wp:inline distT="0" distB="0" distL="0" distR="0" wp14:anchorId="5D428297" wp14:editId="0CA95EB8">
            <wp:extent cx="4572560" cy="2743200"/>
            <wp:effectExtent l="0" t="0" r="19050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9781E" w:rsidRPr="00F16AA7" w:rsidRDefault="00F16AA7" w:rsidP="00975A5B">
      <w:pPr>
        <w:jc w:val="both"/>
        <w:rPr>
          <w:lang w:val="en-US"/>
        </w:rPr>
      </w:pPr>
      <w:r w:rsidRPr="00F16AA7">
        <w:rPr>
          <w:lang w:val="en-US"/>
        </w:rPr>
        <w:t>Please not that every year presented in the chart has its own color</w:t>
      </w:r>
      <w:r>
        <w:rPr>
          <w:lang w:val="en-US"/>
        </w:rPr>
        <w:t>, also</w:t>
      </w:r>
      <w:r w:rsidRPr="00F16AA7">
        <w:rPr>
          <w:lang w:val="en-US"/>
        </w:rPr>
        <w:t xml:space="preserve"> </w:t>
      </w:r>
      <w:r>
        <w:rPr>
          <w:lang w:val="en-US"/>
        </w:rPr>
        <w:t>dates are attached at the first period o</w:t>
      </w:r>
      <w:r w:rsidR="004539C9">
        <w:rPr>
          <w:lang w:val="en-US"/>
        </w:rPr>
        <w:t>f cycle (in such case January). This chart may be enhanced similarly like cross-sectional plot.</w:t>
      </w:r>
      <w:bookmarkStart w:id="9" w:name="_GoBack"/>
      <w:bookmarkEnd w:id="9"/>
      <w:r>
        <w:rPr>
          <w:lang w:val="en-US"/>
        </w:rPr>
        <w:t xml:space="preserve"> </w:t>
      </w:r>
    </w:p>
    <w:p w:rsidR="00136CC7" w:rsidRPr="00F16AA7" w:rsidRDefault="00136CC7" w:rsidP="00975A5B">
      <w:pPr>
        <w:jc w:val="both"/>
        <w:rPr>
          <w:lang w:val="en-US"/>
        </w:rPr>
      </w:pPr>
    </w:p>
    <w:sectPr w:rsidR="00136CC7" w:rsidRPr="00F1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30" w:rsidRDefault="00CB0430" w:rsidP="001B50A4">
      <w:pPr>
        <w:spacing w:before="0" w:after="0" w:line="240" w:lineRule="auto"/>
      </w:pPr>
      <w:r>
        <w:separator/>
      </w:r>
    </w:p>
  </w:endnote>
  <w:endnote w:type="continuationSeparator" w:id="0">
    <w:p w:rsidR="00CB0430" w:rsidRDefault="00CB0430" w:rsidP="001B50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30" w:rsidRDefault="00CB0430" w:rsidP="001B50A4">
      <w:pPr>
        <w:spacing w:before="0" w:after="0" w:line="240" w:lineRule="auto"/>
      </w:pPr>
      <w:r>
        <w:separator/>
      </w:r>
    </w:p>
  </w:footnote>
  <w:footnote w:type="continuationSeparator" w:id="0">
    <w:p w:rsidR="00CB0430" w:rsidRDefault="00CB0430" w:rsidP="001B50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44D"/>
    <w:multiLevelType w:val="hybridMultilevel"/>
    <w:tmpl w:val="3A32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78B9"/>
    <w:multiLevelType w:val="hybridMultilevel"/>
    <w:tmpl w:val="3202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07567"/>
    <w:multiLevelType w:val="hybridMultilevel"/>
    <w:tmpl w:val="AE5EC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603E5"/>
    <w:multiLevelType w:val="hybridMultilevel"/>
    <w:tmpl w:val="122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C0DE6"/>
    <w:multiLevelType w:val="hybridMultilevel"/>
    <w:tmpl w:val="D690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3F"/>
    <w:rsid w:val="00021356"/>
    <w:rsid w:val="00037CB8"/>
    <w:rsid w:val="00052FD6"/>
    <w:rsid w:val="0005624F"/>
    <w:rsid w:val="00072885"/>
    <w:rsid w:val="00085D36"/>
    <w:rsid w:val="000874B5"/>
    <w:rsid w:val="000906B3"/>
    <w:rsid w:val="000B03AA"/>
    <w:rsid w:val="000C1295"/>
    <w:rsid w:val="000C2D18"/>
    <w:rsid w:val="000C585A"/>
    <w:rsid w:val="000E798D"/>
    <w:rsid w:val="000F2B8F"/>
    <w:rsid w:val="001059E5"/>
    <w:rsid w:val="0012053E"/>
    <w:rsid w:val="00136CC7"/>
    <w:rsid w:val="00140B79"/>
    <w:rsid w:val="00170736"/>
    <w:rsid w:val="001763C7"/>
    <w:rsid w:val="00185F0D"/>
    <w:rsid w:val="001A1780"/>
    <w:rsid w:val="001B50A4"/>
    <w:rsid w:val="001C4487"/>
    <w:rsid w:val="001E097A"/>
    <w:rsid w:val="001E53CD"/>
    <w:rsid w:val="001E6935"/>
    <w:rsid w:val="00204B6D"/>
    <w:rsid w:val="002134BA"/>
    <w:rsid w:val="002155A8"/>
    <w:rsid w:val="00236B2B"/>
    <w:rsid w:val="00246893"/>
    <w:rsid w:val="002575B0"/>
    <w:rsid w:val="002621D5"/>
    <w:rsid w:val="00266478"/>
    <w:rsid w:val="00282631"/>
    <w:rsid w:val="00285CC4"/>
    <w:rsid w:val="002A0BDB"/>
    <w:rsid w:val="002A0D99"/>
    <w:rsid w:val="002A5AC4"/>
    <w:rsid w:val="002E204D"/>
    <w:rsid w:val="002E570D"/>
    <w:rsid w:val="003113B0"/>
    <w:rsid w:val="003122CF"/>
    <w:rsid w:val="003375F2"/>
    <w:rsid w:val="00340986"/>
    <w:rsid w:val="00360BD0"/>
    <w:rsid w:val="00362CE7"/>
    <w:rsid w:val="00366CEA"/>
    <w:rsid w:val="0037030F"/>
    <w:rsid w:val="00380959"/>
    <w:rsid w:val="00382668"/>
    <w:rsid w:val="003B4F43"/>
    <w:rsid w:val="003C6F01"/>
    <w:rsid w:val="003E28D6"/>
    <w:rsid w:val="003F2FA9"/>
    <w:rsid w:val="0041525F"/>
    <w:rsid w:val="004159D5"/>
    <w:rsid w:val="00424D2D"/>
    <w:rsid w:val="0044324F"/>
    <w:rsid w:val="004463F0"/>
    <w:rsid w:val="004539C9"/>
    <w:rsid w:val="00463D30"/>
    <w:rsid w:val="004733BE"/>
    <w:rsid w:val="00477113"/>
    <w:rsid w:val="004B161C"/>
    <w:rsid w:val="004B19C1"/>
    <w:rsid w:val="004B41AF"/>
    <w:rsid w:val="004C7DE9"/>
    <w:rsid w:val="004E24CA"/>
    <w:rsid w:val="005026F8"/>
    <w:rsid w:val="00513339"/>
    <w:rsid w:val="0051714E"/>
    <w:rsid w:val="00530CA6"/>
    <w:rsid w:val="00547DF2"/>
    <w:rsid w:val="0058062C"/>
    <w:rsid w:val="005810DC"/>
    <w:rsid w:val="00591440"/>
    <w:rsid w:val="00591B75"/>
    <w:rsid w:val="005C0707"/>
    <w:rsid w:val="005C3540"/>
    <w:rsid w:val="005D12C5"/>
    <w:rsid w:val="005D1B93"/>
    <w:rsid w:val="005D241F"/>
    <w:rsid w:val="00620B6D"/>
    <w:rsid w:val="0062242E"/>
    <w:rsid w:val="00650B3D"/>
    <w:rsid w:val="00661015"/>
    <w:rsid w:val="00663E01"/>
    <w:rsid w:val="006718DA"/>
    <w:rsid w:val="006751EC"/>
    <w:rsid w:val="00690986"/>
    <w:rsid w:val="006B6C8F"/>
    <w:rsid w:val="006C5AA4"/>
    <w:rsid w:val="006D1B99"/>
    <w:rsid w:val="006D4567"/>
    <w:rsid w:val="006E1C7A"/>
    <w:rsid w:val="006F6AED"/>
    <w:rsid w:val="00715CF3"/>
    <w:rsid w:val="0073161B"/>
    <w:rsid w:val="00734DA7"/>
    <w:rsid w:val="007521EC"/>
    <w:rsid w:val="00770FF8"/>
    <w:rsid w:val="00773C44"/>
    <w:rsid w:val="0079071F"/>
    <w:rsid w:val="007A0A76"/>
    <w:rsid w:val="007A4A2F"/>
    <w:rsid w:val="007A65EF"/>
    <w:rsid w:val="007B52FC"/>
    <w:rsid w:val="007B655D"/>
    <w:rsid w:val="007C06A3"/>
    <w:rsid w:val="007C32BA"/>
    <w:rsid w:val="007D12A1"/>
    <w:rsid w:val="007E2C85"/>
    <w:rsid w:val="007F135C"/>
    <w:rsid w:val="00804A14"/>
    <w:rsid w:val="008117D5"/>
    <w:rsid w:val="00815AE2"/>
    <w:rsid w:val="0082533E"/>
    <w:rsid w:val="00837B19"/>
    <w:rsid w:val="00857C2D"/>
    <w:rsid w:val="00893DF9"/>
    <w:rsid w:val="008A1B8B"/>
    <w:rsid w:val="008C29F4"/>
    <w:rsid w:val="008D0FC6"/>
    <w:rsid w:val="008E7A9B"/>
    <w:rsid w:val="008F1193"/>
    <w:rsid w:val="008F200B"/>
    <w:rsid w:val="00925113"/>
    <w:rsid w:val="0094088D"/>
    <w:rsid w:val="00942D41"/>
    <w:rsid w:val="00953FA1"/>
    <w:rsid w:val="00974E81"/>
    <w:rsid w:val="00975A5B"/>
    <w:rsid w:val="00977F7F"/>
    <w:rsid w:val="009A24C7"/>
    <w:rsid w:val="009B275A"/>
    <w:rsid w:val="009C4BFC"/>
    <w:rsid w:val="009C5071"/>
    <w:rsid w:val="009D3709"/>
    <w:rsid w:val="009E49FA"/>
    <w:rsid w:val="009E5A06"/>
    <w:rsid w:val="009F13F8"/>
    <w:rsid w:val="00A04365"/>
    <w:rsid w:val="00A05F0A"/>
    <w:rsid w:val="00A06439"/>
    <w:rsid w:val="00A10187"/>
    <w:rsid w:val="00A116DD"/>
    <w:rsid w:val="00A36D27"/>
    <w:rsid w:val="00A52710"/>
    <w:rsid w:val="00A61D52"/>
    <w:rsid w:val="00A73655"/>
    <w:rsid w:val="00A863F7"/>
    <w:rsid w:val="00A907D4"/>
    <w:rsid w:val="00A96721"/>
    <w:rsid w:val="00A9781E"/>
    <w:rsid w:val="00AA06AB"/>
    <w:rsid w:val="00AA4704"/>
    <w:rsid w:val="00AA69B5"/>
    <w:rsid w:val="00AB056D"/>
    <w:rsid w:val="00AB095C"/>
    <w:rsid w:val="00AB0D40"/>
    <w:rsid w:val="00AB4AC3"/>
    <w:rsid w:val="00AB6595"/>
    <w:rsid w:val="00AB7EE1"/>
    <w:rsid w:val="00AD18DA"/>
    <w:rsid w:val="00AE7042"/>
    <w:rsid w:val="00AF31B4"/>
    <w:rsid w:val="00B134B1"/>
    <w:rsid w:val="00B14C7D"/>
    <w:rsid w:val="00B1692F"/>
    <w:rsid w:val="00B24951"/>
    <w:rsid w:val="00B27886"/>
    <w:rsid w:val="00B5143F"/>
    <w:rsid w:val="00B5432A"/>
    <w:rsid w:val="00B57416"/>
    <w:rsid w:val="00B635D8"/>
    <w:rsid w:val="00B9040D"/>
    <w:rsid w:val="00B9148C"/>
    <w:rsid w:val="00BA28DA"/>
    <w:rsid w:val="00BB26ED"/>
    <w:rsid w:val="00BB5268"/>
    <w:rsid w:val="00BC5B05"/>
    <w:rsid w:val="00BE038C"/>
    <w:rsid w:val="00BE73D2"/>
    <w:rsid w:val="00BF39C5"/>
    <w:rsid w:val="00C205D5"/>
    <w:rsid w:val="00C461F4"/>
    <w:rsid w:val="00C74FD8"/>
    <w:rsid w:val="00C76BC5"/>
    <w:rsid w:val="00C938FD"/>
    <w:rsid w:val="00CA1004"/>
    <w:rsid w:val="00CA4C6C"/>
    <w:rsid w:val="00CB0430"/>
    <w:rsid w:val="00CC11DB"/>
    <w:rsid w:val="00CD1BB7"/>
    <w:rsid w:val="00CF154A"/>
    <w:rsid w:val="00CF2F1B"/>
    <w:rsid w:val="00D00409"/>
    <w:rsid w:val="00D1425E"/>
    <w:rsid w:val="00D204CD"/>
    <w:rsid w:val="00D22F98"/>
    <w:rsid w:val="00D4475B"/>
    <w:rsid w:val="00D4506B"/>
    <w:rsid w:val="00D465C6"/>
    <w:rsid w:val="00D51704"/>
    <w:rsid w:val="00D7579A"/>
    <w:rsid w:val="00D77620"/>
    <w:rsid w:val="00D91D43"/>
    <w:rsid w:val="00DA422F"/>
    <w:rsid w:val="00DA7844"/>
    <w:rsid w:val="00DB2DCF"/>
    <w:rsid w:val="00DB5279"/>
    <w:rsid w:val="00DB6787"/>
    <w:rsid w:val="00DB7BC8"/>
    <w:rsid w:val="00DC3F55"/>
    <w:rsid w:val="00DC6FD8"/>
    <w:rsid w:val="00DD1BD0"/>
    <w:rsid w:val="00DD258C"/>
    <w:rsid w:val="00DE033F"/>
    <w:rsid w:val="00DF3CBB"/>
    <w:rsid w:val="00E3203F"/>
    <w:rsid w:val="00E357AD"/>
    <w:rsid w:val="00E53797"/>
    <w:rsid w:val="00E73885"/>
    <w:rsid w:val="00E95043"/>
    <w:rsid w:val="00EA62B1"/>
    <w:rsid w:val="00EB1DC6"/>
    <w:rsid w:val="00EB45C8"/>
    <w:rsid w:val="00EB7D6D"/>
    <w:rsid w:val="00EC7A94"/>
    <w:rsid w:val="00EC7C9C"/>
    <w:rsid w:val="00ED7928"/>
    <w:rsid w:val="00EF00CC"/>
    <w:rsid w:val="00F02D9E"/>
    <w:rsid w:val="00F04F8C"/>
    <w:rsid w:val="00F11767"/>
    <w:rsid w:val="00F16AA7"/>
    <w:rsid w:val="00F26074"/>
    <w:rsid w:val="00F34886"/>
    <w:rsid w:val="00F42656"/>
    <w:rsid w:val="00F531F7"/>
    <w:rsid w:val="00F558F0"/>
    <w:rsid w:val="00F6296A"/>
    <w:rsid w:val="00F65798"/>
    <w:rsid w:val="00F76A20"/>
    <w:rsid w:val="00F931C2"/>
    <w:rsid w:val="00F959C1"/>
    <w:rsid w:val="00FB584C"/>
    <w:rsid w:val="00FC3627"/>
    <w:rsid w:val="00FC511E"/>
    <w:rsid w:val="00FC553C"/>
    <w:rsid w:val="00FC58B9"/>
    <w:rsid w:val="00FD188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0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470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470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470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470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470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70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7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7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A4"/>
  </w:style>
  <w:style w:type="paragraph" w:styleId="Stopka">
    <w:name w:val="footer"/>
    <w:basedOn w:val="Normalny"/>
    <w:link w:val="StopkaZnak"/>
    <w:uiPriority w:val="99"/>
    <w:unhideWhenUsed/>
    <w:rsid w:val="001B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A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0A4"/>
    <w:pPr>
      <w:spacing w:after="120"/>
    </w:pPr>
    <w:rPr>
      <w:sz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0A4"/>
    <w:rPr>
      <w:rFonts w:eastAsiaTheme="minorEastAsia"/>
      <w:sz w:val="24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470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AA470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470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70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70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470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A470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470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0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A470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AA4704"/>
    <w:rPr>
      <w:b/>
      <w:bCs/>
    </w:rPr>
  </w:style>
  <w:style w:type="character" w:styleId="Uwydatnienie">
    <w:name w:val="Emphasis"/>
    <w:uiPriority w:val="20"/>
    <w:qFormat/>
    <w:rsid w:val="00AA470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A4704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AA470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A470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0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0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0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AA470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AA470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AA470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AA470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AA470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704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4704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F135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F135C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246893"/>
    <w:pPr>
      <w:spacing w:after="100"/>
      <w:ind w:left="200"/>
    </w:pPr>
  </w:style>
  <w:style w:type="table" w:styleId="Tabela-Siatka">
    <w:name w:val="Table Grid"/>
    <w:basedOn w:val="Standardowy"/>
    <w:uiPriority w:val="59"/>
    <w:rsid w:val="00037C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037CB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0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470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470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470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470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470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70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7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7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A4"/>
  </w:style>
  <w:style w:type="paragraph" w:styleId="Stopka">
    <w:name w:val="footer"/>
    <w:basedOn w:val="Normalny"/>
    <w:link w:val="StopkaZnak"/>
    <w:uiPriority w:val="99"/>
    <w:unhideWhenUsed/>
    <w:rsid w:val="001B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A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0A4"/>
    <w:pPr>
      <w:spacing w:after="120"/>
    </w:pPr>
    <w:rPr>
      <w:sz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0A4"/>
    <w:rPr>
      <w:rFonts w:eastAsiaTheme="minorEastAsia"/>
      <w:sz w:val="24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470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AA470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470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70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70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70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470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A470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470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0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A470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AA4704"/>
    <w:rPr>
      <w:b/>
      <w:bCs/>
    </w:rPr>
  </w:style>
  <w:style w:type="character" w:styleId="Uwydatnienie">
    <w:name w:val="Emphasis"/>
    <w:uiPriority w:val="20"/>
    <w:qFormat/>
    <w:rsid w:val="00AA470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A4704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AA470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A470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0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0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0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AA470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AA470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AA470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AA470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AA470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704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4704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F135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F135C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246893"/>
    <w:pPr>
      <w:spacing w:after="100"/>
      <w:ind w:left="200"/>
    </w:pPr>
  </w:style>
  <w:style w:type="table" w:styleId="Tabela-Siatka">
    <w:name w:val="Table Grid"/>
    <w:basedOn w:val="Standardowy"/>
    <w:uiPriority w:val="59"/>
    <w:rsid w:val="00037C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037CB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6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sp02jr\Desktop\gospodarka_makro\CPI\food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sp02jr\Desktop\gospodarka_makro\CPI\food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Moja%20muzyka\Zeszyt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Moja%20muzyka\Zeszyt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Moja%20muzyka\Zeszyt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sp02jr\Desktop\gospodarka_makro\CPI\food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2006</c:v>
          </c:tx>
          <c:marker>
            <c:symbol val="none"/>
          </c:marker>
          <c:val>
            <c:numRef>
              <c:f>main!$H$3:$H$14</c:f>
              <c:numCache>
                <c:formatCode>0.0</c:formatCode>
                <c:ptCount val="12"/>
                <c:pt idx="0">
                  <c:v>-0.5</c:v>
                </c:pt>
                <c:pt idx="1">
                  <c:v>-0.79999999999999716</c:v>
                </c:pt>
                <c:pt idx="2">
                  <c:v>-1.9000000000000057</c:v>
                </c:pt>
                <c:pt idx="3">
                  <c:v>0</c:v>
                </c:pt>
                <c:pt idx="4">
                  <c:v>1.2999999999999972</c:v>
                </c:pt>
                <c:pt idx="5">
                  <c:v>-0.20000000000000284</c:v>
                </c:pt>
                <c:pt idx="6">
                  <c:v>1.0999999999999943</c:v>
                </c:pt>
                <c:pt idx="7">
                  <c:v>2.7999999999999972</c:v>
                </c:pt>
                <c:pt idx="8">
                  <c:v>0.40000000000000568</c:v>
                </c:pt>
                <c:pt idx="9">
                  <c:v>-1.2999999999999972</c:v>
                </c:pt>
                <c:pt idx="10">
                  <c:v>-0.90000000000000568</c:v>
                </c:pt>
                <c:pt idx="11">
                  <c:v>-1.2000000000000028</c:v>
                </c:pt>
              </c:numCache>
            </c:numRef>
          </c:val>
          <c:smooth val="0"/>
        </c:ser>
        <c:ser>
          <c:idx val="1"/>
          <c:order val="1"/>
          <c:tx>
            <c:v>2007</c:v>
          </c:tx>
          <c:marker>
            <c:symbol val="none"/>
          </c:marker>
          <c:val>
            <c:numRef>
              <c:f>main!$H$15:$H$26</c:f>
              <c:numCache>
                <c:formatCode>0.0</c:formatCode>
                <c:ptCount val="12"/>
                <c:pt idx="0">
                  <c:v>1.9000000000000057</c:v>
                </c:pt>
                <c:pt idx="1">
                  <c:v>0.5</c:v>
                </c:pt>
                <c:pt idx="2">
                  <c:v>1.0999999999999943</c:v>
                </c:pt>
                <c:pt idx="3">
                  <c:v>-0.59999999999999432</c:v>
                </c:pt>
                <c:pt idx="4">
                  <c:v>0.20000000000000284</c:v>
                </c:pt>
                <c:pt idx="5">
                  <c:v>0.79999999999999716</c:v>
                </c:pt>
                <c:pt idx="6">
                  <c:v>3.0999999999999943</c:v>
                </c:pt>
                <c:pt idx="7">
                  <c:v>0.5</c:v>
                </c:pt>
                <c:pt idx="8">
                  <c:v>0.5</c:v>
                </c:pt>
                <c:pt idx="9">
                  <c:v>-0.20000000000000284</c:v>
                </c:pt>
                <c:pt idx="10">
                  <c:v>-0.20000000000000284</c:v>
                </c:pt>
                <c:pt idx="11">
                  <c:v>-1.2999999999999972</c:v>
                </c:pt>
              </c:numCache>
            </c:numRef>
          </c:val>
          <c:smooth val="0"/>
        </c:ser>
        <c:ser>
          <c:idx val="2"/>
          <c:order val="2"/>
          <c:tx>
            <c:v>2008</c:v>
          </c:tx>
          <c:marker>
            <c:symbol val="none"/>
          </c:marker>
          <c:val>
            <c:numRef>
              <c:f>main!$H$27:$H$38</c:f>
              <c:numCache>
                <c:formatCode>0.0</c:formatCode>
                <c:ptCount val="12"/>
                <c:pt idx="0">
                  <c:v>1.4000000000000057</c:v>
                </c:pt>
                <c:pt idx="1">
                  <c:v>-0.79999999999999716</c:v>
                </c:pt>
                <c:pt idx="2">
                  <c:v>0.40000000000000568</c:v>
                </c:pt>
                <c:pt idx="3">
                  <c:v>0</c:v>
                </c:pt>
                <c:pt idx="4">
                  <c:v>0.79999999999999716</c:v>
                </c:pt>
                <c:pt idx="5">
                  <c:v>2</c:v>
                </c:pt>
                <c:pt idx="6">
                  <c:v>0.70000000000000284</c:v>
                </c:pt>
                <c:pt idx="7">
                  <c:v>0.79999999999999716</c:v>
                </c:pt>
                <c:pt idx="8">
                  <c:v>0.59999999999999432</c:v>
                </c:pt>
                <c:pt idx="9">
                  <c:v>-9.9999999999994316E-2</c:v>
                </c:pt>
                <c:pt idx="10">
                  <c:v>-0.29999999999999716</c:v>
                </c:pt>
                <c:pt idx="11">
                  <c:v>-9.9999999999994316E-2</c:v>
                </c:pt>
              </c:numCache>
            </c:numRef>
          </c:val>
          <c:smooth val="0"/>
        </c:ser>
        <c:ser>
          <c:idx val="3"/>
          <c:order val="3"/>
          <c:tx>
            <c:v>2009</c:v>
          </c:tx>
          <c:marker>
            <c:symbol val="none"/>
          </c:marker>
          <c:val>
            <c:numRef>
              <c:f>main!$H$39:$H$50</c:f>
              <c:numCache>
                <c:formatCode>0.0</c:formatCode>
                <c:ptCount val="12"/>
                <c:pt idx="0">
                  <c:v>2.5</c:v>
                </c:pt>
                <c:pt idx="1">
                  <c:v>-9.9999999999994316E-2</c:v>
                </c:pt>
                <c:pt idx="2">
                  <c:v>2.5</c:v>
                </c:pt>
                <c:pt idx="3">
                  <c:v>1.5999999999999943</c:v>
                </c:pt>
                <c:pt idx="4">
                  <c:v>0.40000000000000568</c:v>
                </c:pt>
                <c:pt idx="5">
                  <c:v>1.2000000000000028</c:v>
                </c:pt>
                <c:pt idx="6">
                  <c:v>1</c:v>
                </c:pt>
                <c:pt idx="7">
                  <c:v>9.9999999999994316E-2</c:v>
                </c:pt>
                <c:pt idx="8">
                  <c:v>-0.40000000000000568</c:v>
                </c:pt>
                <c:pt idx="9">
                  <c:v>-1.0999999999999943</c:v>
                </c:pt>
                <c:pt idx="10">
                  <c:v>-1.2000000000000028</c:v>
                </c:pt>
                <c:pt idx="11">
                  <c:v>-1</c:v>
                </c:pt>
              </c:numCache>
            </c:numRef>
          </c:val>
          <c:smooth val="0"/>
        </c:ser>
        <c:ser>
          <c:idx val="4"/>
          <c:order val="4"/>
          <c:tx>
            <c:v>2010</c:v>
          </c:tx>
          <c:marker>
            <c:symbol val="none"/>
          </c:marker>
          <c:val>
            <c:numRef>
              <c:f>main!$H$51:$H$62</c:f>
              <c:numCache>
                <c:formatCode>0.0</c:formatCode>
                <c:ptCount val="12"/>
                <c:pt idx="0">
                  <c:v>0.20000000000000284</c:v>
                </c:pt>
                <c:pt idx="1">
                  <c:v>-0.79999999999999716</c:v>
                </c:pt>
                <c:pt idx="2">
                  <c:v>-0.40000000000000568</c:v>
                </c:pt>
                <c:pt idx="3">
                  <c:v>-0.20000000000000284</c:v>
                </c:pt>
                <c:pt idx="4">
                  <c:v>-0.20000000000000284</c:v>
                </c:pt>
                <c:pt idx="5">
                  <c:v>1.5999999999999943</c:v>
                </c:pt>
                <c:pt idx="6">
                  <c:v>-9.9999999999994316E-2</c:v>
                </c:pt>
                <c:pt idx="7">
                  <c:v>0.90000000000000568</c:v>
                </c:pt>
                <c:pt idx="8">
                  <c:v>-9.9999999999994316E-2</c:v>
                </c:pt>
                <c:pt idx="9">
                  <c:v>-1</c:v>
                </c:pt>
                <c:pt idx="10">
                  <c:v>-0.79999999999999716</c:v>
                </c:pt>
                <c:pt idx="11">
                  <c:v>-0.29999999999999716</c:v>
                </c:pt>
              </c:numCache>
            </c:numRef>
          </c:val>
          <c:smooth val="0"/>
        </c:ser>
        <c:ser>
          <c:idx val="5"/>
          <c:order val="5"/>
          <c:tx>
            <c:v>2011</c:v>
          </c:tx>
          <c:marker>
            <c:symbol val="none"/>
          </c:marker>
          <c:val>
            <c:numRef>
              <c:f>main!$H$63:$H$74</c:f>
              <c:numCache>
                <c:formatCode>0.0</c:formatCode>
                <c:ptCount val="12"/>
                <c:pt idx="0">
                  <c:v>1.7000000000000028</c:v>
                </c:pt>
                <c:pt idx="1">
                  <c:v>-9.9999999999994316E-2</c:v>
                </c:pt>
                <c:pt idx="2">
                  <c:v>2.2999999999999972</c:v>
                </c:pt>
                <c:pt idx="3">
                  <c:v>1</c:v>
                </c:pt>
                <c:pt idx="4">
                  <c:v>0.90000000000000568</c:v>
                </c:pt>
                <c:pt idx="5">
                  <c:v>-0.59999999999999432</c:v>
                </c:pt>
                <c:pt idx="6">
                  <c:v>0.40000000000000568</c:v>
                </c:pt>
                <c:pt idx="7">
                  <c:v>1.2000000000000028</c:v>
                </c:pt>
                <c:pt idx="8">
                  <c:v>0.79999999999999716</c:v>
                </c:pt>
                <c:pt idx="9">
                  <c:v>1.4000000000000057</c:v>
                </c:pt>
                <c:pt idx="10">
                  <c:v>0.70000000000000284</c:v>
                </c:pt>
                <c:pt idx="11">
                  <c:v>0.79999999999999716</c:v>
                </c:pt>
              </c:numCache>
            </c:numRef>
          </c:val>
          <c:smooth val="0"/>
        </c:ser>
        <c:ser>
          <c:idx val="6"/>
          <c:order val="6"/>
          <c:tx>
            <c:v>2012</c:v>
          </c:tx>
          <c:marker>
            <c:symbol val="none"/>
          </c:marker>
          <c:val>
            <c:numRef>
              <c:f>main!$H$75:$H$86</c:f>
              <c:numCache>
                <c:formatCode>0.0</c:formatCode>
                <c:ptCount val="12"/>
                <c:pt idx="0">
                  <c:v>1</c:v>
                </c:pt>
                <c:pt idx="1">
                  <c:v>0.59999999999999432</c:v>
                </c:pt>
                <c:pt idx="2">
                  <c:v>0.40000000000000568</c:v>
                </c:pt>
                <c:pt idx="3">
                  <c:v>0.29999999999999716</c:v>
                </c:pt>
                <c:pt idx="4">
                  <c:v>0.40000000000000568</c:v>
                </c:pt>
                <c:pt idx="5">
                  <c:v>1.2999999999999972</c:v>
                </c:pt>
                <c:pt idx="6">
                  <c:v>9.9999999999994316E-2</c:v>
                </c:pt>
                <c:pt idx="7">
                  <c:v>0.20000000000000284</c:v>
                </c:pt>
                <c:pt idx="8">
                  <c:v>0.90000000000000568</c:v>
                </c:pt>
                <c:pt idx="9">
                  <c:v>0.20000000000000284</c:v>
                </c:pt>
                <c:pt idx="10">
                  <c:v>0</c:v>
                </c:pt>
                <c:pt idx="11">
                  <c:v>-0.5</c:v>
                </c:pt>
              </c:numCache>
            </c:numRef>
          </c:val>
          <c:smooth val="0"/>
        </c:ser>
        <c:ser>
          <c:idx val="7"/>
          <c:order val="7"/>
          <c:tx>
            <c:v>2013</c:v>
          </c:tx>
          <c:marker>
            <c:symbol val="none"/>
          </c:marker>
          <c:val>
            <c:numRef>
              <c:f>main!$H$87:$H$98</c:f>
              <c:numCache>
                <c:formatCode>0.0</c:formatCode>
                <c:ptCount val="12"/>
                <c:pt idx="0">
                  <c:v>0.20000000000000284</c:v>
                </c:pt>
                <c:pt idx="1">
                  <c:v>-0.70000000000000284</c:v>
                </c:pt>
                <c:pt idx="2">
                  <c:v>0.5</c:v>
                </c:pt>
                <c:pt idx="3">
                  <c:v>-9.9999999999994316E-2</c:v>
                </c:pt>
                <c:pt idx="4">
                  <c:v>-9.9999999999994316E-2</c:v>
                </c:pt>
                <c:pt idx="5">
                  <c:v>0.40000000000000568</c:v>
                </c:pt>
                <c:pt idx="6">
                  <c:v>0.70000000000000284</c:v>
                </c:pt>
                <c:pt idx="7">
                  <c:v>0.40000000000000568</c:v>
                </c:pt>
                <c:pt idx="8">
                  <c:v>1.0999999999999943</c:v>
                </c:pt>
                <c:pt idx="9">
                  <c:v>-1</c:v>
                </c:pt>
                <c:pt idx="10">
                  <c:v>-0.79999999999999716</c:v>
                </c:pt>
                <c:pt idx="11">
                  <c:v>-0.40000000000000568</c:v>
                </c:pt>
              </c:numCache>
            </c:numRef>
          </c:val>
          <c:smooth val="0"/>
        </c:ser>
        <c:ser>
          <c:idx val="8"/>
          <c:order val="8"/>
          <c:tx>
            <c:v>2014</c:v>
          </c:tx>
          <c:marker>
            <c:symbol val="none"/>
          </c:marker>
          <c:val>
            <c:numRef>
              <c:f>main!$H$99:$H$110</c:f>
              <c:numCache>
                <c:formatCode>0.0</c:formatCode>
                <c:ptCount val="12"/>
                <c:pt idx="0">
                  <c:v>0.4</c:v>
                </c:pt>
                <c:pt idx="1">
                  <c:v>0</c:v>
                </c:pt>
                <c:pt idx="2">
                  <c:v>-0.1</c:v>
                </c:pt>
                <c:pt idx="3">
                  <c:v>0.2</c:v>
                </c:pt>
                <c:pt idx="4">
                  <c:v>0.1</c:v>
                </c:pt>
                <c:pt idx="5">
                  <c:v>0.4</c:v>
                </c:pt>
                <c:pt idx="6">
                  <c:v>0.1</c:v>
                </c:pt>
                <c:pt idx="7">
                  <c:v>-0.2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-0.4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138624"/>
        <c:axId val="188140160"/>
      </c:lineChart>
      <c:catAx>
        <c:axId val="18813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8140160"/>
        <c:crosses val="autoZero"/>
        <c:auto val="1"/>
        <c:lblAlgn val="ctr"/>
        <c:lblOffset val="100"/>
        <c:noMultiLvlLbl val="0"/>
      </c:catAx>
      <c:valAx>
        <c:axId val="1881401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8813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2006</c:v>
          </c:tx>
          <c:invertIfNegative val="0"/>
          <c:val>
            <c:numRef>
              <c:f>[foody.xlsx]main!$H$3:$H$14</c:f>
              <c:numCache>
                <c:formatCode>0.0</c:formatCode>
                <c:ptCount val="12"/>
                <c:pt idx="0">
                  <c:v>-0.5</c:v>
                </c:pt>
                <c:pt idx="1">
                  <c:v>-0.79999999999999716</c:v>
                </c:pt>
                <c:pt idx="2">
                  <c:v>-1.9000000000000057</c:v>
                </c:pt>
                <c:pt idx="3">
                  <c:v>0</c:v>
                </c:pt>
                <c:pt idx="4">
                  <c:v>1.2999999999999972</c:v>
                </c:pt>
                <c:pt idx="5">
                  <c:v>-0.20000000000000284</c:v>
                </c:pt>
                <c:pt idx="6">
                  <c:v>1.0999999999999943</c:v>
                </c:pt>
                <c:pt idx="7">
                  <c:v>2.7999999999999972</c:v>
                </c:pt>
                <c:pt idx="8">
                  <c:v>0.40000000000000568</c:v>
                </c:pt>
                <c:pt idx="9">
                  <c:v>-1.2999999999999972</c:v>
                </c:pt>
                <c:pt idx="10">
                  <c:v>-0.90000000000000568</c:v>
                </c:pt>
                <c:pt idx="11">
                  <c:v>-1.2000000000000028</c:v>
                </c:pt>
              </c:numCache>
            </c:numRef>
          </c:val>
        </c:ser>
        <c:ser>
          <c:idx val="1"/>
          <c:order val="1"/>
          <c:tx>
            <c:v>2007</c:v>
          </c:tx>
          <c:invertIfNegative val="0"/>
          <c:val>
            <c:numRef>
              <c:f>[foody.xlsx]main!$H$15:$H$26</c:f>
              <c:numCache>
                <c:formatCode>0.0</c:formatCode>
                <c:ptCount val="12"/>
                <c:pt idx="0">
                  <c:v>1.9000000000000057</c:v>
                </c:pt>
                <c:pt idx="1">
                  <c:v>0.5</c:v>
                </c:pt>
                <c:pt idx="2">
                  <c:v>1.0999999999999943</c:v>
                </c:pt>
                <c:pt idx="3">
                  <c:v>-0.59999999999999432</c:v>
                </c:pt>
                <c:pt idx="4">
                  <c:v>0.20000000000000284</c:v>
                </c:pt>
                <c:pt idx="5">
                  <c:v>0.79999999999999716</c:v>
                </c:pt>
                <c:pt idx="6">
                  <c:v>3.0999999999999943</c:v>
                </c:pt>
                <c:pt idx="7">
                  <c:v>0.5</c:v>
                </c:pt>
                <c:pt idx="8">
                  <c:v>0.5</c:v>
                </c:pt>
                <c:pt idx="9">
                  <c:v>-0.20000000000000284</c:v>
                </c:pt>
                <c:pt idx="10">
                  <c:v>-0.20000000000000284</c:v>
                </c:pt>
                <c:pt idx="11">
                  <c:v>-1.2999999999999972</c:v>
                </c:pt>
              </c:numCache>
            </c:numRef>
          </c:val>
        </c:ser>
        <c:ser>
          <c:idx val="2"/>
          <c:order val="2"/>
          <c:tx>
            <c:v>2008</c:v>
          </c:tx>
          <c:invertIfNegative val="0"/>
          <c:val>
            <c:numRef>
              <c:f>[foody.xlsx]main!$H$27:$H$38</c:f>
              <c:numCache>
                <c:formatCode>0.0</c:formatCode>
                <c:ptCount val="12"/>
                <c:pt idx="0">
                  <c:v>1.4000000000000057</c:v>
                </c:pt>
                <c:pt idx="1">
                  <c:v>-0.79999999999999716</c:v>
                </c:pt>
                <c:pt idx="2">
                  <c:v>0.40000000000000568</c:v>
                </c:pt>
                <c:pt idx="3">
                  <c:v>0</c:v>
                </c:pt>
                <c:pt idx="4">
                  <c:v>0.79999999999999716</c:v>
                </c:pt>
                <c:pt idx="5">
                  <c:v>2</c:v>
                </c:pt>
                <c:pt idx="6">
                  <c:v>0.70000000000000284</c:v>
                </c:pt>
                <c:pt idx="7">
                  <c:v>0.79999999999999716</c:v>
                </c:pt>
                <c:pt idx="8">
                  <c:v>0.59999999999999432</c:v>
                </c:pt>
                <c:pt idx="9">
                  <c:v>-9.9999999999994316E-2</c:v>
                </c:pt>
                <c:pt idx="10">
                  <c:v>-0.29999999999999716</c:v>
                </c:pt>
                <c:pt idx="11">
                  <c:v>-9.9999999999994316E-2</c:v>
                </c:pt>
              </c:numCache>
            </c:numRef>
          </c:val>
        </c:ser>
        <c:ser>
          <c:idx val="3"/>
          <c:order val="3"/>
          <c:tx>
            <c:v>2009</c:v>
          </c:tx>
          <c:invertIfNegative val="0"/>
          <c:val>
            <c:numRef>
              <c:f>[foody.xlsx]main!$H$39:$H$50</c:f>
              <c:numCache>
                <c:formatCode>0.0</c:formatCode>
                <c:ptCount val="12"/>
                <c:pt idx="0">
                  <c:v>2.5</c:v>
                </c:pt>
                <c:pt idx="1">
                  <c:v>-9.9999999999994316E-2</c:v>
                </c:pt>
                <c:pt idx="2">
                  <c:v>2.5</c:v>
                </c:pt>
                <c:pt idx="3">
                  <c:v>1.5999999999999943</c:v>
                </c:pt>
                <c:pt idx="4">
                  <c:v>0.40000000000000568</c:v>
                </c:pt>
                <c:pt idx="5">
                  <c:v>1.2000000000000028</c:v>
                </c:pt>
                <c:pt idx="6">
                  <c:v>1</c:v>
                </c:pt>
                <c:pt idx="7">
                  <c:v>9.9999999999994316E-2</c:v>
                </c:pt>
                <c:pt idx="8">
                  <c:v>-0.40000000000000568</c:v>
                </c:pt>
                <c:pt idx="9">
                  <c:v>-1.0999999999999943</c:v>
                </c:pt>
                <c:pt idx="10">
                  <c:v>-1.2000000000000028</c:v>
                </c:pt>
                <c:pt idx="11">
                  <c:v>-1</c:v>
                </c:pt>
              </c:numCache>
            </c:numRef>
          </c:val>
        </c:ser>
        <c:ser>
          <c:idx val="4"/>
          <c:order val="4"/>
          <c:tx>
            <c:v>2010</c:v>
          </c:tx>
          <c:invertIfNegative val="0"/>
          <c:val>
            <c:numRef>
              <c:f>[foody.xlsx]main!$H$51:$H$62</c:f>
              <c:numCache>
                <c:formatCode>0.0</c:formatCode>
                <c:ptCount val="12"/>
                <c:pt idx="0">
                  <c:v>0.20000000000000284</c:v>
                </c:pt>
                <c:pt idx="1">
                  <c:v>-0.79999999999999716</c:v>
                </c:pt>
                <c:pt idx="2">
                  <c:v>-0.40000000000000568</c:v>
                </c:pt>
                <c:pt idx="3">
                  <c:v>-0.20000000000000284</c:v>
                </c:pt>
                <c:pt idx="4">
                  <c:v>-0.20000000000000284</c:v>
                </c:pt>
                <c:pt idx="5">
                  <c:v>1.5999999999999943</c:v>
                </c:pt>
                <c:pt idx="6">
                  <c:v>-9.9999999999994316E-2</c:v>
                </c:pt>
                <c:pt idx="7">
                  <c:v>0.90000000000000568</c:v>
                </c:pt>
                <c:pt idx="8">
                  <c:v>-9.9999999999994316E-2</c:v>
                </c:pt>
                <c:pt idx="9">
                  <c:v>-1</c:v>
                </c:pt>
                <c:pt idx="10">
                  <c:v>-0.79999999999999716</c:v>
                </c:pt>
                <c:pt idx="11">
                  <c:v>-0.29999999999999716</c:v>
                </c:pt>
              </c:numCache>
            </c:numRef>
          </c:val>
        </c:ser>
        <c:ser>
          <c:idx val="5"/>
          <c:order val="5"/>
          <c:tx>
            <c:v>2011</c:v>
          </c:tx>
          <c:invertIfNegative val="0"/>
          <c:val>
            <c:numRef>
              <c:f>[foody.xlsx]main!$H$63:$H$74</c:f>
              <c:numCache>
                <c:formatCode>0.0</c:formatCode>
                <c:ptCount val="12"/>
                <c:pt idx="0">
                  <c:v>1.7000000000000028</c:v>
                </c:pt>
                <c:pt idx="1">
                  <c:v>-9.9999999999994316E-2</c:v>
                </c:pt>
                <c:pt idx="2">
                  <c:v>2.2999999999999972</c:v>
                </c:pt>
                <c:pt idx="3">
                  <c:v>1</c:v>
                </c:pt>
                <c:pt idx="4">
                  <c:v>0.90000000000000568</c:v>
                </c:pt>
                <c:pt idx="5">
                  <c:v>-0.59999999999999432</c:v>
                </c:pt>
                <c:pt idx="6">
                  <c:v>0.40000000000000568</c:v>
                </c:pt>
                <c:pt idx="7">
                  <c:v>1.2000000000000028</c:v>
                </c:pt>
                <c:pt idx="8">
                  <c:v>0.79999999999999716</c:v>
                </c:pt>
                <c:pt idx="9">
                  <c:v>1.4000000000000057</c:v>
                </c:pt>
                <c:pt idx="10">
                  <c:v>0.70000000000000284</c:v>
                </c:pt>
                <c:pt idx="11">
                  <c:v>0.79999999999999716</c:v>
                </c:pt>
              </c:numCache>
            </c:numRef>
          </c:val>
        </c:ser>
        <c:ser>
          <c:idx val="6"/>
          <c:order val="6"/>
          <c:tx>
            <c:v>2012</c:v>
          </c:tx>
          <c:invertIfNegative val="0"/>
          <c:val>
            <c:numRef>
              <c:f>[foody.xlsx]main!$H$75:$H$86</c:f>
              <c:numCache>
                <c:formatCode>0.0</c:formatCode>
                <c:ptCount val="12"/>
                <c:pt idx="0">
                  <c:v>1</c:v>
                </c:pt>
                <c:pt idx="1">
                  <c:v>0.59999999999999432</c:v>
                </c:pt>
                <c:pt idx="2">
                  <c:v>0.40000000000000568</c:v>
                </c:pt>
                <c:pt idx="3">
                  <c:v>0.29999999999999716</c:v>
                </c:pt>
                <c:pt idx="4">
                  <c:v>0.40000000000000568</c:v>
                </c:pt>
                <c:pt idx="5">
                  <c:v>1.2999999999999972</c:v>
                </c:pt>
                <c:pt idx="6">
                  <c:v>9.9999999999994316E-2</c:v>
                </c:pt>
                <c:pt idx="7">
                  <c:v>0.20000000000000284</c:v>
                </c:pt>
                <c:pt idx="8">
                  <c:v>0.90000000000000568</c:v>
                </c:pt>
                <c:pt idx="9">
                  <c:v>0.20000000000000284</c:v>
                </c:pt>
                <c:pt idx="10">
                  <c:v>0</c:v>
                </c:pt>
                <c:pt idx="11">
                  <c:v>-0.5</c:v>
                </c:pt>
              </c:numCache>
            </c:numRef>
          </c:val>
        </c:ser>
        <c:ser>
          <c:idx val="7"/>
          <c:order val="7"/>
          <c:tx>
            <c:v>2013</c:v>
          </c:tx>
          <c:invertIfNegative val="0"/>
          <c:val>
            <c:numRef>
              <c:f>[foody.xlsx]main!$H$87:$H$98</c:f>
              <c:numCache>
                <c:formatCode>0.0</c:formatCode>
                <c:ptCount val="12"/>
                <c:pt idx="0">
                  <c:v>0.20000000000000284</c:v>
                </c:pt>
                <c:pt idx="1">
                  <c:v>-0.70000000000000284</c:v>
                </c:pt>
                <c:pt idx="2">
                  <c:v>0.5</c:v>
                </c:pt>
                <c:pt idx="3">
                  <c:v>-9.9999999999994316E-2</c:v>
                </c:pt>
                <c:pt idx="4">
                  <c:v>-9.9999999999994316E-2</c:v>
                </c:pt>
                <c:pt idx="5">
                  <c:v>0.40000000000000568</c:v>
                </c:pt>
                <c:pt idx="6">
                  <c:v>0.70000000000000284</c:v>
                </c:pt>
                <c:pt idx="7">
                  <c:v>0.40000000000000568</c:v>
                </c:pt>
                <c:pt idx="8">
                  <c:v>1.0999999999999943</c:v>
                </c:pt>
                <c:pt idx="9">
                  <c:v>-1</c:v>
                </c:pt>
                <c:pt idx="10">
                  <c:v>-0.79999999999999716</c:v>
                </c:pt>
                <c:pt idx="11">
                  <c:v>-0.40000000000000568</c:v>
                </c:pt>
              </c:numCache>
            </c:numRef>
          </c:val>
        </c:ser>
        <c:ser>
          <c:idx val="8"/>
          <c:order val="8"/>
          <c:tx>
            <c:v>2014</c:v>
          </c:tx>
          <c:invertIfNegative val="0"/>
          <c:val>
            <c:numRef>
              <c:f>[foody.xlsx]main!$H$99:$H$110</c:f>
              <c:numCache>
                <c:formatCode>0.0</c:formatCode>
                <c:ptCount val="12"/>
                <c:pt idx="0">
                  <c:v>0.4</c:v>
                </c:pt>
                <c:pt idx="1">
                  <c:v>0</c:v>
                </c:pt>
                <c:pt idx="2">
                  <c:v>-0.1</c:v>
                </c:pt>
                <c:pt idx="3">
                  <c:v>0.2</c:v>
                </c:pt>
                <c:pt idx="4">
                  <c:v>0.1</c:v>
                </c:pt>
                <c:pt idx="5">
                  <c:v>0.4</c:v>
                </c:pt>
                <c:pt idx="6">
                  <c:v>0.1</c:v>
                </c:pt>
                <c:pt idx="7">
                  <c:v>-0.2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-0.4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14880"/>
        <c:axId val="193116416"/>
      </c:barChart>
      <c:catAx>
        <c:axId val="19311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116416"/>
        <c:crosses val="autoZero"/>
        <c:auto val="1"/>
        <c:lblAlgn val="ctr"/>
        <c:lblOffset val="100"/>
        <c:noMultiLvlLbl val="0"/>
      </c:catAx>
      <c:valAx>
        <c:axId val="19311641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9311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EU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pl-PL"/>
                      <a:t>EZ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pl-PL"/>
                      <a:t>BE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/>
                      <a:t>CZK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pl-PL"/>
                      <a:t>DKK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pl-PL"/>
                      <a:t>GER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pl-PL"/>
                      <a:t>IRL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pl-PL"/>
                      <a:t>GRE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pl-PL"/>
                      <a:t>ESP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pl-PL"/>
                      <a:t>FRA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pl-PL"/>
                      <a:t>CRO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pl-PL"/>
                      <a:t>ITA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pl-PL"/>
                      <a:t>CYP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pl-PL"/>
                      <a:t>LIT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pl-PL"/>
                      <a:t>LUX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pl-PL"/>
                      <a:t>HUF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pl-PL"/>
                      <a:t>HOL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pl-PL"/>
                      <a:t>AUS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pl-PL"/>
                      <a:t>POL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pl-PL"/>
                      <a:t>POR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pl-PL"/>
                      <a:t>RON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pl-PL"/>
                      <a:t>SLO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xVal>
            <c:numRef>
              <c:f>Arkusz1!$B$2:$B$23</c:f>
              <c:numCache>
                <c:formatCode>#,##0.00</c:formatCode>
                <c:ptCount val="22"/>
                <c:pt idx="0">
                  <c:v>2.93</c:v>
                </c:pt>
                <c:pt idx="1">
                  <c:v>2.84</c:v>
                </c:pt>
                <c:pt idx="2">
                  <c:v>2.4500000000000002</c:v>
                </c:pt>
                <c:pt idx="3">
                  <c:v>2.4300000000000002</c:v>
                </c:pt>
                <c:pt idx="4">
                  <c:v>1.86</c:v>
                </c:pt>
                <c:pt idx="5">
                  <c:v>1.76</c:v>
                </c:pt>
                <c:pt idx="6">
                  <c:v>3.39</c:v>
                </c:pt>
                <c:pt idx="7">
                  <c:v>8.18</c:v>
                </c:pt>
                <c:pt idx="8">
                  <c:v>3.79</c:v>
                </c:pt>
                <c:pt idx="9">
                  <c:v>2.38</c:v>
                </c:pt>
                <c:pt idx="10">
                  <c:v>5.1100000000000003</c:v>
                </c:pt>
                <c:pt idx="11">
                  <c:v>3.87</c:v>
                </c:pt>
                <c:pt idx="12">
                  <c:v>6</c:v>
                </c:pt>
                <c:pt idx="13">
                  <c:v>3.42</c:v>
                </c:pt>
                <c:pt idx="14">
                  <c:v>1.83</c:v>
                </c:pt>
                <c:pt idx="15">
                  <c:v>5.6</c:v>
                </c:pt>
                <c:pt idx="16">
                  <c:v>2.09</c:v>
                </c:pt>
                <c:pt idx="17">
                  <c:v>2.13</c:v>
                </c:pt>
                <c:pt idx="18">
                  <c:v>4.42</c:v>
                </c:pt>
                <c:pt idx="19">
                  <c:v>5.21</c:v>
                </c:pt>
                <c:pt idx="20">
                  <c:v>5.22</c:v>
                </c:pt>
                <c:pt idx="21">
                  <c:v>4.7300000000000004</c:v>
                </c:pt>
              </c:numCache>
            </c:numRef>
          </c:xVal>
          <c:yVal>
            <c:numRef>
              <c:f>Arkusz1!$D$2:$D$23</c:f>
              <c:numCache>
                <c:formatCode>#,##0.0</c:formatCode>
                <c:ptCount val="22"/>
                <c:pt idx="0">
                  <c:v>0.9</c:v>
                </c:pt>
                <c:pt idx="1">
                  <c:v>0.8</c:v>
                </c:pt>
                <c:pt idx="2">
                  <c:v>1.1000000000000001</c:v>
                </c:pt>
                <c:pt idx="3">
                  <c:v>0.3</c:v>
                </c:pt>
                <c:pt idx="4">
                  <c:v>0.8</c:v>
                </c:pt>
                <c:pt idx="5">
                  <c:v>1.2</c:v>
                </c:pt>
                <c:pt idx="6">
                  <c:v>0.3</c:v>
                </c:pt>
                <c:pt idx="7">
                  <c:v>-1.4</c:v>
                </c:pt>
                <c:pt idx="8">
                  <c:v>0.3</c:v>
                </c:pt>
                <c:pt idx="9">
                  <c:v>0.8</c:v>
                </c:pt>
                <c:pt idx="10">
                  <c:v>0.4</c:v>
                </c:pt>
                <c:pt idx="11">
                  <c:v>0.6</c:v>
                </c:pt>
                <c:pt idx="12">
                  <c:v>-1.6</c:v>
                </c:pt>
                <c:pt idx="13">
                  <c:v>0.2</c:v>
                </c:pt>
                <c:pt idx="14">
                  <c:v>1.5</c:v>
                </c:pt>
                <c:pt idx="15">
                  <c:v>0.8</c:v>
                </c:pt>
                <c:pt idx="16">
                  <c:v>0.8</c:v>
                </c:pt>
                <c:pt idx="17">
                  <c:v>1.5</c:v>
                </c:pt>
                <c:pt idx="18">
                  <c:v>0.6</c:v>
                </c:pt>
                <c:pt idx="19">
                  <c:v>0.1</c:v>
                </c:pt>
                <c:pt idx="20">
                  <c:v>1.2</c:v>
                </c:pt>
                <c:pt idx="21">
                  <c:v>0.9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387328"/>
        <c:axId val="194397312"/>
      </c:scatterChart>
      <c:valAx>
        <c:axId val="194387328"/>
        <c:scaling>
          <c:orientation val="minMax"/>
          <c:min val="-3"/>
        </c:scaling>
        <c:delete val="0"/>
        <c:axPos val="b"/>
        <c:numFmt formatCode="#,##0.00" sourceLinked="1"/>
        <c:majorTickMark val="out"/>
        <c:minorTickMark val="none"/>
        <c:tickLblPos val="nextTo"/>
        <c:crossAx val="194397312"/>
        <c:crosses val="autoZero"/>
        <c:crossBetween val="midCat"/>
      </c:valAx>
      <c:valAx>
        <c:axId val="194397312"/>
        <c:scaling>
          <c:orientation val="minMax"/>
          <c:min val="-7"/>
        </c:scaling>
        <c:delete val="0"/>
        <c:axPos val="l"/>
        <c:numFmt formatCode="#,##0.0" sourceLinked="1"/>
        <c:majorTickMark val="out"/>
        <c:minorTickMark val="none"/>
        <c:tickLblPos val="nextTo"/>
        <c:crossAx val="1943873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EU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pl-PL"/>
                      <a:t>EZ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pl-PL"/>
                      <a:t>BE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/>
                      <a:t>CZK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pl-PL"/>
                      <a:t>DKK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pl-PL"/>
                      <a:t>GER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pl-PL"/>
                      <a:t>IRL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pl-PL"/>
                      <a:t>GRE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pl-PL"/>
                      <a:t>ESP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pl-PL"/>
                      <a:t>FRA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pl-PL"/>
                      <a:t>CRO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pl-PL"/>
                      <a:t>ITA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pl-PL"/>
                      <a:t>CYP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pl-PL"/>
                      <a:t>LIT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pl-PL"/>
                      <a:t>LUX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pl-PL"/>
                      <a:t>HUF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pl-PL"/>
                      <a:t>HOL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pl-PL"/>
                      <a:t>AUS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pl-PL"/>
                      <a:t>POL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pl-PL"/>
                      <a:t>POR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pl-PL"/>
                      <a:t>RON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pl-PL"/>
                      <a:t>SLO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xVal>
            <c:numRef>
              <c:f>Arkusz1!$B$2:$B$23</c:f>
              <c:numCache>
                <c:formatCode>#,##0.00</c:formatCode>
                <c:ptCount val="22"/>
                <c:pt idx="0">
                  <c:v>2.93</c:v>
                </c:pt>
                <c:pt idx="1">
                  <c:v>2.84</c:v>
                </c:pt>
                <c:pt idx="2">
                  <c:v>2.4500000000000002</c:v>
                </c:pt>
                <c:pt idx="3">
                  <c:v>2.4300000000000002</c:v>
                </c:pt>
                <c:pt idx="4">
                  <c:v>1.86</c:v>
                </c:pt>
                <c:pt idx="5">
                  <c:v>1.76</c:v>
                </c:pt>
                <c:pt idx="6">
                  <c:v>3.39</c:v>
                </c:pt>
                <c:pt idx="7">
                  <c:v>8.18</c:v>
                </c:pt>
                <c:pt idx="8">
                  <c:v>3.79</c:v>
                </c:pt>
                <c:pt idx="9">
                  <c:v>2.38</c:v>
                </c:pt>
                <c:pt idx="10">
                  <c:v>5.1100000000000003</c:v>
                </c:pt>
                <c:pt idx="11">
                  <c:v>3.87</c:v>
                </c:pt>
                <c:pt idx="12">
                  <c:v>6</c:v>
                </c:pt>
                <c:pt idx="13">
                  <c:v>3.42</c:v>
                </c:pt>
                <c:pt idx="14">
                  <c:v>1.83</c:v>
                </c:pt>
                <c:pt idx="15">
                  <c:v>5.6</c:v>
                </c:pt>
                <c:pt idx="16">
                  <c:v>2.09</c:v>
                </c:pt>
                <c:pt idx="17">
                  <c:v>2.13</c:v>
                </c:pt>
                <c:pt idx="18">
                  <c:v>4.42</c:v>
                </c:pt>
                <c:pt idx="19">
                  <c:v>5.21</c:v>
                </c:pt>
                <c:pt idx="20">
                  <c:v>5.22</c:v>
                </c:pt>
                <c:pt idx="21">
                  <c:v>4.7300000000000004</c:v>
                </c:pt>
              </c:numCache>
            </c:numRef>
          </c:xVal>
          <c:yVal>
            <c:numRef>
              <c:f>Arkusz1!$D$2:$D$23</c:f>
              <c:numCache>
                <c:formatCode>#,##0.0</c:formatCode>
                <c:ptCount val="22"/>
                <c:pt idx="0">
                  <c:v>0.9</c:v>
                </c:pt>
                <c:pt idx="1">
                  <c:v>0.8</c:v>
                </c:pt>
                <c:pt idx="2">
                  <c:v>1.1000000000000001</c:v>
                </c:pt>
                <c:pt idx="3">
                  <c:v>0.3</c:v>
                </c:pt>
                <c:pt idx="4">
                  <c:v>0.8</c:v>
                </c:pt>
                <c:pt idx="5">
                  <c:v>1.2</c:v>
                </c:pt>
                <c:pt idx="6">
                  <c:v>0.3</c:v>
                </c:pt>
                <c:pt idx="7">
                  <c:v>-1.4</c:v>
                </c:pt>
                <c:pt idx="8">
                  <c:v>0.3</c:v>
                </c:pt>
                <c:pt idx="9">
                  <c:v>0.8</c:v>
                </c:pt>
                <c:pt idx="10">
                  <c:v>0.4</c:v>
                </c:pt>
                <c:pt idx="11">
                  <c:v>0.6</c:v>
                </c:pt>
                <c:pt idx="12">
                  <c:v>-1.6</c:v>
                </c:pt>
                <c:pt idx="13">
                  <c:v>0.2</c:v>
                </c:pt>
                <c:pt idx="14">
                  <c:v>1.5</c:v>
                </c:pt>
                <c:pt idx="15">
                  <c:v>0.8</c:v>
                </c:pt>
                <c:pt idx="16">
                  <c:v>0.8</c:v>
                </c:pt>
                <c:pt idx="17">
                  <c:v>1.5</c:v>
                </c:pt>
                <c:pt idx="18">
                  <c:v>0.6</c:v>
                </c:pt>
                <c:pt idx="19">
                  <c:v>0.1</c:v>
                </c:pt>
                <c:pt idx="20">
                  <c:v>1.2</c:v>
                </c:pt>
                <c:pt idx="21">
                  <c:v>0.9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438656"/>
        <c:axId val="194440192"/>
      </c:scatterChart>
      <c:valAx>
        <c:axId val="194438656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crossAx val="194440192"/>
        <c:crosses val="autoZero"/>
        <c:crossBetween val="midCat"/>
      </c:valAx>
      <c:valAx>
        <c:axId val="194440192"/>
        <c:scaling>
          <c:orientation val="minMax"/>
          <c:min val="-2"/>
        </c:scaling>
        <c:delete val="0"/>
        <c:axPos val="l"/>
        <c:numFmt formatCode="#,##0.0" sourceLinked="1"/>
        <c:majorTickMark val="out"/>
        <c:minorTickMark val="none"/>
        <c:tickLblPos val="nextTo"/>
        <c:crossAx val="194438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pl-PL" sz="600"/>
                      <a:t>EU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pl-PL" sz="600"/>
                      <a:t>EZ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pl-PL" sz="600"/>
                      <a:t>BE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 sz="600"/>
                      <a:t>CZK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pl-PL" sz="600"/>
                      <a:t>DKK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pl-PL" sz="600"/>
                      <a:t>GER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pl-PL" sz="600"/>
                      <a:t>IRL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pl-PL" sz="600"/>
                      <a:t>GRE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pl-PL" sz="600"/>
                      <a:t>ESP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pl-PL" sz="600"/>
                      <a:t>FRA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pl-PL" sz="600"/>
                      <a:t>CRO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pl-PL" sz="600"/>
                      <a:t>ITA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pl-PL" sz="600"/>
                      <a:t>CYP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pl-PL" sz="600"/>
                      <a:t>LIT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pl-PL" sz="600"/>
                      <a:t>LUX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pl-PL" sz="600"/>
                      <a:t>HUF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pl-PL" sz="600"/>
                      <a:t>HOL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pl-PL" sz="600"/>
                      <a:t>AUS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pl-PL" sz="600"/>
                      <a:t>POL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pl-PL" sz="600"/>
                      <a:t>POR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pl-PL" sz="600"/>
                      <a:t>RON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pl-PL" sz="600"/>
                      <a:t>SLO</a:t>
                    </a:r>
                    <a:endParaRPr lang="pl-PL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60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trendlineType val="linear"/>
            <c:dispRSqr val="1"/>
            <c:dispEq val="1"/>
            <c:trendlineLbl>
              <c:layout>
                <c:manualLayout>
                  <c:x val="0.17477165354330709"/>
                  <c:y val="-0.498053732866725"/>
                </c:manualLayout>
              </c:layout>
              <c:numFmt formatCode="General" sourceLinked="0"/>
            </c:trendlineLbl>
          </c:trendline>
          <c:xVal>
            <c:numRef>
              <c:f>Arkusz1!$B$2:$B$23</c:f>
              <c:numCache>
                <c:formatCode>#,##0.00</c:formatCode>
                <c:ptCount val="22"/>
                <c:pt idx="0">
                  <c:v>2.93</c:v>
                </c:pt>
                <c:pt idx="1">
                  <c:v>2.84</c:v>
                </c:pt>
                <c:pt idx="2">
                  <c:v>2.4500000000000002</c:v>
                </c:pt>
                <c:pt idx="3">
                  <c:v>2.4300000000000002</c:v>
                </c:pt>
                <c:pt idx="4">
                  <c:v>1.86</c:v>
                </c:pt>
                <c:pt idx="5">
                  <c:v>1.76</c:v>
                </c:pt>
                <c:pt idx="6">
                  <c:v>3.39</c:v>
                </c:pt>
                <c:pt idx="7">
                  <c:v>8.18</c:v>
                </c:pt>
                <c:pt idx="8">
                  <c:v>3.79</c:v>
                </c:pt>
                <c:pt idx="9">
                  <c:v>2.38</c:v>
                </c:pt>
                <c:pt idx="10">
                  <c:v>5.1100000000000003</c:v>
                </c:pt>
                <c:pt idx="11">
                  <c:v>3.87</c:v>
                </c:pt>
                <c:pt idx="12">
                  <c:v>6</c:v>
                </c:pt>
                <c:pt idx="13">
                  <c:v>3.42</c:v>
                </c:pt>
                <c:pt idx="14">
                  <c:v>1.83</c:v>
                </c:pt>
                <c:pt idx="15">
                  <c:v>5.6</c:v>
                </c:pt>
                <c:pt idx="16">
                  <c:v>2.09</c:v>
                </c:pt>
                <c:pt idx="17">
                  <c:v>2.13</c:v>
                </c:pt>
                <c:pt idx="18">
                  <c:v>4.42</c:v>
                </c:pt>
                <c:pt idx="19">
                  <c:v>5.21</c:v>
                </c:pt>
                <c:pt idx="20">
                  <c:v>5.22</c:v>
                </c:pt>
                <c:pt idx="21">
                  <c:v>4.7300000000000004</c:v>
                </c:pt>
              </c:numCache>
            </c:numRef>
          </c:xVal>
          <c:yVal>
            <c:numRef>
              <c:f>Arkusz1!$D$2:$D$23</c:f>
              <c:numCache>
                <c:formatCode>#,##0.0</c:formatCode>
                <c:ptCount val="22"/>
                <c:pt idx="0">
                  <c:v>0.9</c:v>
                </c:pt>
                <c:pt idx="1">
                  <c:v>0.8</c:v>
                </c:pt>
                <c:pt idx="2">
                  <c:v>1.1000000000000001</c:v>
                </c:pt>
                <c:pt idx="3">
                  <c:v>0.3</c:v>
                </c:pt>
                <c:pt idx="4">
                  <c:v>0.8</c:v>
                </c:pt>
                <c:pt idx="5">
                  <c:v>1.2</c:v>
                </c:pt>
                <c:pt idx="6">
                  <c:v>0.3</c:v>
                </c:pt>
                <c:pt idx="7">
                  <c:v>-1.4</c:v>
                </c:pt>
                <c:pt idx="8">
                  <c:v>0.3</c:v>
                </c:pt>
                <c:pt idx="9">
                  <c:v>0.8</c:v>
                </c:pt>
                <c:pt idx="10">
                  <c:v>0.4</c:v>
                </c:pt>
                <c:pt idx="11">
                  <c:v>0.6</c:v>
                </c:pt>
                <c:pt idx="12">
                  <c:v>-1.6</c:v>
                </c:pt>
                <c:pt idx="13">
                  <c:v>0.2</c:v>
                </c:pt>
                <c:pt idx="14">
                  <c:v>1.5</c:v>
                </c:pt>
                <c:pt idx="15">
                  <c:v>0.8</c:v>
                </c:pt>
                <c:pt idx="16">
                  <c:v>0.8</c:v>
                </c:pt>
                <c:pt idx="17">
                  <c:v>1.5</c:v>
                </c:pt>
                <c:pt idx="18">
                  <c:v>0.6</c:v>
                </c:pt>
                <c:pt idx="19">
                  <c:v>0.1</c:v>
                </c:pt>
                <c:pt idx="20">
                  <c:v>1.2</c:v>
                </c:pt>
                <c:pt idx="21">
                  <c:v>0.9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661824"/>
        <c:axId val="195663744"/>
      </c:scatterChart>
      <c:valAx>
        <c:axId val="195661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Inflacja HICP (%</a:t>
                </a:r>
                <a:r>
                  <a:rPr lang="pl-PL" baseline="0"/>
                  <a:t>, r/r)</a:t>
                </a:r>
                <a:endParaRPr lang="pl-PL"/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195663744"/>
        <c:crosses val="autoZero"/>
        <c:crossBetween val="midCat"/>
      </c:valAx>
      <c:valAx>
        <c:axId val="195663744"/>
        <c:scaling>
          <c:orientation val="minMax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Dochodowść - benchmark 10</a:t>
                </a:r>
                <a:r>
                  <a:rPr lang="pl-PL" baseline="0"/>
                  <a:t> lat (%)</a:t>
                </a:r>
                <a:endParaRPr lang="pl-PL"/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1956618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dPt>
            <c:idx val="0"/>
            <c:marker>
              <c:spPr>
                <a:ln>
                  <a:solidFill>
                    <a:srgbClr val="FFFFFF"/>
                  </a:solidFill>
                </a:ln>
              </c:spPr>
            </c:marker>
            <c:bubble3D val="0"/>
            <c:spPr>
              <a:ln>
                <a:solidFill>
                  <a:srgbClr val="FFFFFF"/>
                </a:solidFill>
              </a:ln>
            </c:spPr>
          </c:dPt>
          <c:dPt>
            <c:idx val="1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2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3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4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5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6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7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8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9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10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11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12"/>
            <c:marker>
              <c:spPr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</a:ln>
            </c:spPr>
          </c:dPt>
          <c:dPt>
            <c:idx val="13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4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5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6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7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8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19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0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1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2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3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4"/>
            <c:marker>
              <c:spPr>
                <a:ln>
                  <a:solidFill>
                    <a:srgbClr val="CD0000"/>
                  </a:solidFill>
                </a:ln>
              </c:spPr>
            </c:marker>
            <c:bubble3D val="0"/>
            <c:spPr>
              <a:ln>
                <a:solidFill>
                  <a:srgbClr val="CD0000"/>
                </a:solidFill>
              </a:ln>
            </c:spPr>
          </c:dPt>
          <c:dPt>
            <c:idx val="25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26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27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28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29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0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1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2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3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4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5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6"/>
            <c:marker>
              <c:spPr>
                <a:ln>
                  <a:solidFill>
                    <a:srgbClr val="690000"/>
                  </a:solidFill>
                </a:ln>
              </c:spPr>
            </c:marker>
            <c:bubble3D val="0"/>
            <c:spPr>
              <a:ln>
                <a:solidFill>
                  <a:srgbClr val="690000"/>
                </a:solidFill>
              </a:ln>
            </c:spPr>
          </c:dPt>
          <c:dPt>
            <c:idx val="37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38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39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0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1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2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3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4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5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6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7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8"/>
            <c:marker>
              <c:spPr>
                <a:ln>
                  <a:solidFill>
                    <a:srgbClr val="370000"/>
                  </a:solidFill>
                </a:ln>
              </c:spPr>
            </c:marker>
            <c:bubble3D val="0"/>
            <c:spPr>
              <a:ln>
                <a:solidFill>
                  <a:srgbClr val="370000"/>
                </a:solidFill>
              </a:ln>
            </c:spPr>
          </c:dPt>
          <c:dPt>
            <c:idx val="49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0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1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2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3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4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5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6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7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8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59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60"/>
            <c:marker>
              <c:spPr>
                <a:ln>
                  <a:solidFill>
                    <a:srgbClr val="FFFF00"/>
                  </a:solidFill>
                </a:ln>
              </c:spPr>
            </c:marker>
            <c:bubble3D val="0"/>
            <c:spPr>
              <a:ln>
                <a:solidFill>
                  <a:srgbClr val="FFFF00"/>
                </a:solidFill>
              </a:ln>
            </c:spPr>
          </c:dPt>
          <c:dPt>
            <c:idx val="61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2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3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4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5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6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7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8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69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70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71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72"/>
            <c:marker>
              <c:spPr>
                <a:ln>
                  <a:solidFill>
                    <a:srgbClr val="FFCD00"/>
                  </a:solidFill>
                </a:ln>
              </c:spPr>
            </c:marker>
            <c:bubble3D val="0"/>
            <c:spPr>
              <a:ln>
                <a:solidFill>
                  <a:srgbClr val="FFCD00"/>
                </a:solidFill>
              </a:ln>
            </c:spPr>
          </c:dPt>
          <c:dPt>
            <c:idx val="73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4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5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6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7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8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79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0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1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2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3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4"/>
            <c:marker>
              <c:spPr>
                <a:ln>
                  <a:solidFill>
                    <a:srgbClr val="FF9B00"/>
                  </a:solidFill>
                </a:ln>
              </c:spPr>
            </c:marker>
            <c:bubble3D val="0"/>
            <c:spPr>
              <a:ln>
                <a:solidFill>
                  <a:srgbClr val="FF9B00"/>
                </a:solidFill>
              </a:ln>
            </c:spPr>
          </c:dPt>
          <c:dPt>
            <c:idx val="85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86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87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88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89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90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91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92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93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Pt>
            <c:idx val="94"/>
            <c:marker>
              <c:spPr>
                <a:ln>
                  <a:solidFill>
                    <a:srgbClr val="FF6900"/>
                  </a:solidFill>
                </a:ln>
              </c:spPr>
            </c:marker>
            <c:bubble3D val="0"/>
            <c:spPr>
              <a:ln>
                <a:solidFill>
                  <a:srgbClr val="FF6900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1-2000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pl-PL"/>
                      <a:t>1-2001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4"/>
              <c:tx>
                <c:rich>
                  <a:bodyPr/>
                  <a:lstStyle/>
                  <a:p>
                    <a:r>
                      <a:rPr lang="pl-PL"/>
                      <a:t>1-2002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36"/>
              <c:tx>
                <c:rich>
                  <a:bodyPr/>
                  <a:lstStyle/>
                  <a:p>
                    <a:r>
                      <a:rPr lang="pl-PL"/>
                      <a:t>1-2003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48"/>
              <c:tx>
                <c:rich>
                  <a:bodyPr/>
                  <a:lstStyle/>
                  <a:p>
                    <a:r>
                      <a:rPr lang="pl-PL"/>
                      <a:t>1-2004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0"/>
              <c:tx>
                <c:rich>
                  <a:bodyPr/>
                  <a:lstStyle/>
                  <a:p>
                    <a:r>
                      <a:rPr lang="pl-PL"/>
                      <a:t>1-2005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2"/>
              <c:tx>
                <c:rich>
                  <a:bodyPr/>
                  <a:lstStyle/>
                  <a:p>
                    <a:r>
                      <a:rPr lang="pl-PL"/>
                      <a:t>1-2006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4"/>
              <c:tx>
                <c:rich>
                  <a:bodyPr/>
                  <a:lstStyle/>
                  <a:p>
                    <a:r>
                      <a:rPr lang="pl-PL"/>
                      <a:t>1-2007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xVal>
            <c:numRef>
              <c:f>zbożowe!$B$3:$B$97</c:f>
              <c:numCache>
                <c:formatCode>0.0</c:formatCode>
                <c:ptCount val="95"/>
                <c:pt idx="0">
                  <c:v>-5.4000000000000057</c:v>
                </c:pt>
                <c:pt idx="1">
                  <c:v>-4.7999999999999972</c:v>
                </c:pt>
                <c:pt idx="2">
                  <c:v>-6.4000000000000057</c:v>
                </c:pt>
                <c:pt idx="3">
                  <c:v>-6.4000000000000057</c:v>
                </c:pt>
                <c:pt idx="4">
                  <c:v>-5.4000000000000057</c:v>
                </c:pt>
                <c:pt idx="5">
                  <c:v>-5.4000000000000057</c:v>
                </c:pt>
                <c:pt idx="6">
                  <c:v>-4.2000000000000028</c:v>
                </c:pt>
                <c:pt idx="7">
                  <c:v>-2.2999999999999972</c:v>
                </c:pt>
                <c:pt idx="8">
                  <c:v>-2</c:v>
                </c:pt>
                <c:pt idx="9">
                  <c:v>-2.0999999999999943</c:v>
                </c:pt>
                <c:pt idx="10">
                  <c:v>-1.2999999999999972</c:v>
                </c:pt>
                <c:pt idx="11">
                  <c:v>-1.2999999999999972</c:v>
                </c:pt>
                <c:pt idx="12">
                  <c:v>1.0999999999999943</c:v>
                </c:pt>
                <c:pt idx="13">
                  <c:v>2.2999999999999972</c:v>
                </c:pt>
                <c:pt idx="14">
                  <c:v>5.5999999999999943</c:v>
                </c:pt>
                <c:pt idx="15">
                  <c:v>5</c:v>
                </c:pt>
                <c:pt idx="16">
                  <c:v>3.7000000000000028</c:v>
                </c:pt>
                <c:pt idx="17">
                  <c:v>4.7000000000000028</c:v>
                </c:pt>
                <c:pt idx="18">
                  <c:v>6.7999999999999972</c:v>
                </c:pt>
                <c:pt idx="19">
                  <c:v>4.2999999999999972</c:v>
                </c:pt>
                <c:pt idx="20">
                  <c:v>4.5</c:v>
                </c:pt>
                <c:pt idx="21">
                  <c:v>5.9000000000000057</c:v>
                </c:pt>
                <c:pt idx="22">
                  <c:v>6.5999999999999943</c:v>
                </c:pt>
                <c:pt idx="23">
                  <c:v>6.5</c:v>
                </c:pt>
                <c:pt idx="24">
                  <c:v>5.9000000000000057</c:v>
                </c:pt>
                <c:pt idx="25">
                  <c:v>4.5999999999999943</c:v>
                </c:pt>
                <c:pt idx="26">
                  <c:v>4</c:v>
                </c:pt>
                <c:pt idx="27">
                  <c:v>4.5</c:v>
                </c:pt>
                <c:pt idx="28">
                  <c:v>5.2000000000000028</c:v>
                </c:pt>
                <c:pt idx="29">
                  <c:v>6.5</c:v>
                </c:pt>
                <c:pt idx="30">
                  <c:v>4</c:v>
                </c:pt>
                <c:pt idx="31">
                  <c:v>4.2999999999999972</c:v>
                </c:pt>
                <c:pt idx="32">
                  <c:v>4.2999999999999972</c:v>
                </c:pt>
                <c:pt idx="33">
                  <c:v>4.2999999999999972</c:v>
                </c:pt>
                <c:pt idx="34">
                  <c:v>4.0999999999999943</c:v>
                </c:pt>
                <c:pt idx="35">
                  <c:v>5.4000000000000057</c:v>
                </c:pt>
                <c:pt idx="36">
                  <c:v>6.4000000000000057</c:v>
                </c:pt>
                <c:pt idx="37">
                  <c:v>7.0999999999999943</c:v>
                </c:pt>
                <c:pt idx="38">
                  <c:v>9.2999999999999972</c:v>
                </c:pt>
                <c:pt idx="39">
                  <c:v>11.200000000000003</c:v>
                </c:pt>
                <c:pt idx="40">
                  <c:v>10.700000000000003</c:v>
                </c:pt>
                <c:pt idx="41">
                  <c:v>9.7999999999999972</c:v>
                </c:pt>
                <c:pt idx="42">
                  <c:v>10.099999999999994</c:v>
                </c:pt>
                <c:pt idx="43">
                  <c:v>9.4000000000000057</c:v>
                </c:pt>
                <c:pt idx="44">
                  <c:v>8.4000000000000057</c:v>
                </c:pt>
                <c:pt idx="45">
                  <c:v>7.2999999999999972</c:v>
                </c:pt>
                <c:pt idx="46">
                  <c:v>6.4000000000000057</c:v>
                </c:pt>
                <c:pt idx="47">
                  <c:v>5.4000000000000057</c:v>
                </c:pt>
                <c:pt idx="48">
                  <c:v>3</c:v>
                </c:pt>
                <c:pt idx="49">
                  <c:v>2.2999999999999972</c:v>
                </c:pt>
                <c:pt idx="50">
                  <c:v>-0.5</c:v>
                </c:pt>
                <c:pt idx="51">
                  <c:v>-2.2000000000000028</c:v>
                </c:pt>
                <c:pt idx="52">
                  <c:v>-2.7999999999999972</c:v>
                </c:pt>
                <c:pt idx="53">
                  <c:v>-2.4000000000000057</c:v>
                </c:pt>
                <c:pt idx="54">
                  <c:v>-3.4000000000000057</c:v>
                </c:pt>
                <c:pt idx="55">
                  <c:v>-2.7000000000000028</c:v>
                </c:pt>
                <c:pt idx="56">
                  <c:v>-2.4000000000000057</c:v>
                </c:pt>
                <c:pt idx="57">
                  <c:v>-2.2999999999999972</c:v>
                </c:pt>
                <c:pt idx="58">
                  <c:v>-1.9000000000000057</c:v>
                </c:pt>
                <c:pt idx="59">
                  <c:v>-1.2000000000000028</c:v>
                </c:pt>
                <c:pt idx="60">
                  <c:v>0.29999999999999716</c:v>
                </c:pt>
                <c:pt idx="61">
                  <c:v>1</c:v>
                </c:pt>
                <c:pt idx="62">
                  <c:v>3.7000000000000028</c:v>
                </c:pt>
                <c:pt idx="63">
                  <c:v>4.9000000000000057</c:v>
                </c:pt>
                <c:pt idx="64">
                  <c:v>6.0999999999999943</c:v>
                </c:pt>
                <c:pt idx="65">
                  <c:v>3.7000000000000028</c:v>
                </c:pt>
                <c:pt idx="66">
                  <c:v>4.2000000000000028</c:v>
                </c:pt>
                <c:pt idx="67">
                  <c:v>4.5</c:v>
                </c:pt>
                <c:pt idx="68">
                  <c:v>5.5999999999999943</c:v>
                </c:pt>
                <c:pt idx="69">
                  <c:v>8.2000000000000028</c:v>
                </c:pt>
                <c:pt idx="70">
                  <c:v>9.7999999999999972</c:v>
                </c:pt>
                <c:pt idx="71">
                  <c:v>11.099999999999994</c:v>
                </c:pt>
                <c:pt idx="72">
                  <c:v>10.299999999999997</c:v>
                </c:pt>
                <c:pt idx="73">
                  <c:v>11.099999999999994</c:v>
                </c:pt>
                <c:pt idx="74">
                  <c:v>9.0999999999999943</c:v>
                </c:pt>
                <c:pt idx="75">
                  <c:v>8.2999999999999972</c:v>
                </c:pt>
                <c:pt idx="76">
                  <c:v>7.7999999999999972</c:v>
                </c:pt>
                <c:pt idx="77">
                  <c:v>9.7999999999999972</c:v>
                </c:pt>
                <c:pt idx="78">
                  <c:v>9.5</c:v>
                </c:pt>
                <c:pt idx="79">
                  <c:v>8.4000000000000057</c:v>
                </c:pt>
                <c:pt idx="80">
                  <c:v>8.4000000000000057</c:v>
                </c:pt>
                <c:pt idx="81">
                  <c:v>7.2000000000000028</c:v>
                </c:pt>
                <c:pt idx="82">
                  <c:v>6.4000000000000057</c:v>
                </c:pt>
                <c:pt idx="83">
                  <c:v>5</c:v>
                </c:pt>
                <c:pt idx="84">
                  <c:v>4.0999999999999943</c:v>
                </c:pt>
                <c:pt idx="85">
                  <c:v>2.7000000000000028</c:v>
                </c:pt>
                <c:pt idx="86">
                  <c:v>2.7999999999999972</c:v>
                </c:pt>
                <c:pt idx="87">
                  <c:v>2.4000000000000057</c:v>
                </c:pt>
                <c:pt idx="88">
                  <c:v>1.9000000000000057</c:v>
                </c:pt>
                <c:pt idx="89">
                  <c:v>0.90000000000000568</c:v>
                </c:pt>
                <c:pt idx="90">
                  <c:v>1.5999999999999943</c:v>
                </c:pt>
                <c:pt idx="91">
                  <c:v>1.7999999999999972</c:v>
                </c:pt>
                <c:pt idx="92">
                  <c:v>2.0999999999999943</c:v>
                </c:pt>
                <c:pt idx="93">
                  <c:v>0.90000000000000568</c:v>
                </c:pt>
                <c:pt idx="94">
                  <c:v>9.9999999999994316E-2</c:v>
                </c:pt>
              </c:numCache>
            </c:numRef>
          </c:xVal>
          <c:yVal>
            <c:numRef>
              <c:f>zbożowe!$I$3:$I$97</c:f>
              <c:numCache>
                <c:formatCode>0.0</c:formatCode>
                <c:ptCount val="95"/>
                <c:pt idx="0">
                  <c:v>3.5999999999999943</c:v>
                </c:pt>
                <c:pt idx="1">
                  <c:v>4.7999999999999972</c:v>
                </c:pt>
                <c:pt idx="2">
                  <c:v>5.4000000000000057</c:v>
                </c:pt>
                <c:pt idx="3">
                  <c:v>4</c:v>
                </c:pt>
                <c:pt idx="4">
                  <c:v>5.2000000000000028</c:v>
                </c:pt>
                <c:pt idx="5">
                  <c:v>4.5</c:v>
                </c:pt>
                <c:pt idx="6">
                  <c:v>5.5999999999999943</c:v>
                </c:pt>
                <c:pt idx="7">
                  <c:v>5.2999999999999972</c:v>
                </c:pt>
                <c:pt idx="8">
                  <c:v>5.0999999999999943</c:v>
                </c:pt>
                <c:pt idx="9">
                  <c:v>4.7000000000000028</c:v>
                </c:pt>
                <c:pt idx="10">
                  <c:v>3</c:v>
                </c:pt>
                <c:pt idx="11">
                  <c:v>8.5</c:v>
                </c:pt>
                <c:pt idx="12">
                  <c:v>7.7999999999999972</c:v>
                </c:pt>
                <c:pt idx="13">
                  <c:v>6.4000000000000057</c:v>
                </c:pt>
                <c:pt idx="14">
                  <c:v>9.0999999999999943</c:v>
                </c:pt>
                <c:pt idx="15">
                  <c:v>8.4000000000000057</c:v>
                </c:pt>
                <c:pt idx="16">
                  <c:v>8.9000000000000057</c:v>
                </c:pt>
                <c:pt idx="17">
                  <c:v>9.2999999999999972</c:v>
                </c:pt>
                <c:pt idx="18">
                  <c:v>9.2999999999999972</c:v>
                </c:pt>
                <c:pt idx="19">
                  <c:v>10.5</c:v>
                </c:pt>
                <c:pt idx="20">
                  <c:v>9.5</c:v>
                </c:pt>
                <c:pt idx="21">
                  <c:v>11</c:v>
                </c:pt>
                <c:pt idx="22">
                  <c:v>12</c:v>
                </c:pt>
                <c:pt idx="23">
                  <c:v>7.2000000000000028</c:v>
                </c:pt>
                <c:pt idx="24">
                  <c:v>11.700000000000003</c:v>
                </c:pt>
                <c:pt idx="25">
                  <c:v>13.200000000000003</c:v>
                </c:pt>
                <c:pt idx="26">
                  <c:v>10.5</c:v>
                </c:pt>
                <c:pt idx="27">
                  <c:v>12.900000000000006</c:v>
                </c:pt>
                <c:pt idx="28">
                  <c:v>10.799999999999997</c:v>
                </c:pt>
                <c:pt idx="29">
                  <c:v>12.299999999999997</c:v>
                </c:pt>
                <c:pt idx="30">
                  <c:v>11.799999999999997</c:v>
                </c:pt>
                <c:pt idx="31">
                  <c:v>9.9000000000000057</c:v>
                </c:pt>
                <c:pt idx="32">
                  <c:v>11.200000000000003</c:v>
                </c:pt>
                <c:pt idx="33">
                  <c:v>10.099999999999994</c:v>
                </c:pt>
                <c:pt idx="34">
                  <c:v>7.5999999999999943</c:v>
                </c:pt>
                <c:pt idx="35">
                  <c:v>5.5999999999999943</c:v>
                </c:pt>
                <c:pt idx="36">
                  <c:v>8.0999999999999943</c:v>
                </c:pt>
                <c:pt idx="37">
                  <c:v>5.0999999999999943</c:v>
                </c:pt>
                <c:pt idx="38">
                  <c:v>5.7000000000000028</c:v>
                </c:pt>
                <c:pt idx="39">
                  <c:v>4.7999999999999972</c:v>
                </c:pt>
                <c:pt idx="40">
                  <c:v>3.7999999999999972</c:v>
                </c:pt>
                <c:pt idx="41">
                  <c:v>2</c:v>
                </c:pt>
                <c:pt idx="42">
                  <c:v>3.9000000000000057</c:v>
                </c:pt>
                <c:pt idx="43">
                  <c:v>3</c:v>
                </c:pt>
                <c:pt idx="44">
                  <c:v>3.2999999999999972</c:v>
                </c:pt>
                <c:pt idx="45">
                  <c:v>2</c:v>
                </c:pt>
                <c:pt idx="46">
                  <c:v>2.2999999999999972</c:v>
                </c:pt>
                <c:pt idx="47">
                  <c:v>6.5</c:v>
                </c:pt>
                <c:pt idx="48">
                  <c:v>0.5</c:v>
                </c:pt>
                <c:pt idx="49">
                  <c:v>2.9000000000000057</c:v>
                </c:pt>
                <c:pt idx="50">
                  <c:v>4.7999999999999972</c:v>
                </c:pt>
                <c:pt idx="51">
                  <c:v>3.2000000000000028</c:v>
                </c:pt>
                <c:pt idx="52">
                  <c:v>4.7999999999999972</c:v>
                </c:pt>
                <c:pt idx="53">
                  <c:v>3.5</c:v>
                </c:pt>
                <c:pt idx="54">
                  <c:v>2.0999999999999943</c:v>
                </c:pt>
                <c:pt idx="55">
                  <c:v>4.2000000000000028</c:v>
                </c:pt>
                <c:pt idx="56">
                  <c:v>3.7000000000000028</c:v>
                </c:pt>
                <c:pt idx="57">
                  <c:v>3.9000000000000057</c:v>
                </c:pt>
                <c:pt idx="58">
                  <c:v>3.5999999999999943</c:v>
                </c:pt>
                <c:pt idx="59">
                  <c:v>5.4000000000000057</c:v>
                </c:pt>
                <c:pt idx="60">
                  <c:v>5</c:v>
                </c:pt>
                <c:pt idx="61">
                  <c:v>4.0999999999999943</c:v>
                </c:pt>
                <c:pt idx="62">
                  <c:v>4</c:v>
                </c:pt>
                <c:pt idx="63">
                  <c:v>5.9000000000000057</c:v>
                </c:pt>
                <c:pt idx="64">
                  <c:v>4.0999999999999943</c:v>
                </c:pt>
                <c:pt idx="65">
                  <c:v>5.7999999999999972</c:v>
                </c:pt>
                <c:pt idx="66">
                  <c:v>5.2000000000000028</c:v>
                </c:pt>
                <c:pt idx="67">
                  <c:v>5.4000000000000057</c:v>
                </c:pt>
                <c:pt idx="68">
                  <c:v>5.2000000000000028</c:v>
                </c:pt>
                <c:pt idx="69">
                  <c:v>5.0999999999999943</c:v>
                </c:pt>
                <c:pt idx="70">
                  <c:v>4.4000000000000057</c:v>
                </c:pt>
                <c:pt idx="71">
                  <c:v>4.4000000000000057</c:v>
                </c:pt>
                <c:pt idx="72">
                  <c:v>8.0999999999999943</c:v>
                </c:pt>
                <c:pt idx="73">
                  <c:v>4.2999999999999972</c:v>
                </c:pt>
                <c:pt idx="74">
                  <c:v>3.7999999999999972</c:v>
                </c:pt>
                <c:pt idx="75">
                  <c:v>3.4000000000000057</c:v>
                </c:pt>
                <c:pt idx="76">
                  <c:v>3.7999999999999972</c:v>
                </c:pt>
                <c:pt idx="77">
                  <c:v>4.2999999999999972</c:v>
                </c:pt>
                <c:pt idx="78">
                  <c:v>2.4000000000000057</c:v>
                </c:pt>
                <c:pt idx="79">
                  <c:v>2.7000000000000028</c:v>
                </c:pt>
                <c:pt idx="80">
                  <c:v>1.5999999999999943</c:v>
                </c:pt>
                <c:pt idx="81">
                  <c:v>2.7999999999999972</c:v>
                </c:pt>
                <c:pt idx="82">
                  <c:v>2.7000000000000028</c:v>
                </c:pt>
                <c:pt idx="83">
                  <c:v>2.4000000000000057</c:v>
                </c:pt>
                <c:pt idx="84">
                  <c:v>0.40000000000000568</c:v>
                </c:pt>
                <c:pt idx="85">
                  <c:v>4</c:v>
                </c:pt>
                <c:pt idx="86">
                  <c:v>1.5999999999999943</c:v>
                </c:pt>
                <c:pt idx="87">
                  <c:v>3</c:v>
                </c:pt>
                <c:pt idx="88">
                  <c:v>2.2999999999999972</c:v>
                </c:pt>
                <c:pt idx="89">
                  <c:v>1.4000000000000057</c:v>
                </c:pt>
                <c:pt idx="90">
                  <c:v>3.5</c:v>
                </c:pt>
                <c:pt idx="91">
                  <c:v>2</c:v>
                </c:pt>
                <c:pt idx="92">
                  <c:v>3.5999999999999943</c:v>
                </c:pt>
                <c:pt idx="93">
                  <c:v>3.0999999999999943</c:v>
                </c:pt>
                <c:pt idx="94">
                  <c:v>3.0999999999999943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360448"/>
        <c:axId val="196390912"/>
      </c:scatterChart>
      <c:valAx>
        <c:axId val="196360448"/>
        <c:scaling>
          <c:orientation val="minMax"/>
          <c:min val="-11"/>
        </c:scaling>
        <c:delete val="0"/>
        <c:axPos val="b"/>
        <c:numFmt formatCode="0.0" sourceLinked="1"/>
        <c:majorTickMark val="out"/>
        <c:minorTickMark val="none"/>
        <c:tickLblPos val="nextTo"/>
        <c:crossAx val="196390912"/>
        <c:crosses val="autoZero"/>
        <c:crossBetween val="midCat"/>
      </c:valAx>
      <c:valAx>
        <c:axId val="196390912"/>
        <c:scaling>
          <c:orientation val="minMax"/>
          <c:min val="-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63604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9562-971C-4118-9401-EC516FF8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Rybacki, Jakub Paweł</dc:creator>
  <cp:lastModifiedBy>Rybacki, Jakub Paweł</cp:lastModifiedBy>
  <cp:revision>70</cp:revision>
  <dcterms:created xsi:type="dcterms:W3CDTF">2014-03-05T14:26:00Z</dcterms:created>
  <dcterms:modified xsi:type="dcterms:W3CDTF">2014-12-18T13:06:00Z</dcterms:modified>
</cp:coreProperties>
</file>