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0A4" w:rsidRDefault="001B50A4" w:rsidP="001B50A4">
      <w:pPr>
        <w:pStyle w:val="Tekstpodstawowy"/>
        <w:jc w:val="center"/>
        <w:rPr>
          <w:rFonts w:cstheme="minorHAnsi"/>
          <w:sz w:val="48"/>
          <w:szCs w:val="22"/>
          <w:lang w:val="pl-PL"/>
        </w:rPr>
      </w:pPr>
    </w:p>
    <w:p w:rsidR="001B50A4" w:rsidRDefault="001B50A4" w:rsidP="001B50A4">
      <w:pPr>
        <w:pStyle w:val="Tekstpodstawowy"/>
        <w:jc w:val="center"/>
        <w:rPr>
          <w:rFonts w:cstheme="minorHAnsi"/>
          <w:sz w:val="48"/>
          <w:szCs w:val="22"/>
          <w:lang w:val="pl-PL"/>
        </w:rPr>
      </w:pPr>
    </w:p>
    <w:p w:rsidR="00AA4704" w:rsidRDefault="00AA4704" w:rsidP="001B50A4">
      <w:pPr>
        <w:pStyle w:val="Tekstpodstawowy"/>
        <w:jc w:val="center"/>
        <w:rPr>
          <w:rFonts w:cstheme="minorHAnsi"/>
          <w:sz w:val="48"/>
          <w:szCs w:val="22"/>
          <w:lang w:val="pl-PL"/>
        </w:rPr>
      </w:pPr>
    </w:p>
    <w:p w:rsidR="001B50A4" w:rsidRDefault="001B50A4" w:rsidP="001B50A4">
      <w:pPr>
        <w:pStyle w:val="Tekstpodstawowy"/>
        <w:jc w:val="center"/>
        <w:rPr>
          <w:rFonts w:cstheme="minorHAnsi"/>
          <w:sz w:val="48"/>
          <w:szCs w:val="22"/>
          <w:lang w:val="pl-PL"/>
        </w:rPr>
      </w:pPr>
    </w:p>
    <w:p w:rsidR="001B50A4" w:rsidRDefault="001B50A4" w:rsidP="001B50A4">
      <w:pPr>
        <w:pStyle w:val="Tekstpodstawowy"/>
        <w:jc w:val="center"/>
        <w:rPr>
          <w:rFonts w:cstheme="minorHAnsi"/>
          <w:sz w:val="48"/>
          <w:szCs w:val="22"/>
          <w:lang w:val="pl-PL"/>
        </w:rPr>
      </w:pPr>
    </w:p>
    <w:p w:rsidR="00925113" w:rsidRDefault="00A116DD" w:rsidP="001B50A4">
      <w:pPr>
        <w:pStyle w:val="Tekstpodstawowy"/>
        <w:jc w:val="center"/>
        <w:rPr>
          <w:rFonts w:cstheme="minorHAnsi"/>
          <w:sz w:val="48"/>
          <w:szCs w:val="22"/>
          <w:lang w:val="pl-PL"/>
        </w:rPr>
      </w:pPr>
      <w:r>
        <w:rPr>
          <w:rFonts w:cstheme="minorHAnsi"/>
          <w:sz w:val="48"/>
          <w:szCs w:val="22"/>
          <w:lang w:val="pl-PL"/>
        </w:rPr>
        <w:t xml:space="preserve">Instrukcja </w:t>
      </w:r>
      <w:r w:rsidR="00925113">
        <w:rPr>
          <w:rFonts w:cstheme="minorHAnsi"/>
          <w:sz w:val="48"/>
          <w:szCs w:val="22"/>
          <w:lang w:val="pl-PL"/>
        </w:rPr>
        <w:t xml:space="preserve">Obsługi </w:t>
      </w:r>
      <w:r>
        <w:rPr>
          <w:rFonts w:cstheme="minorHAnsi"/>
          <w:sz w:val="48"/>
          <w:szCs w:val="22"/>
          <w:lang w:val="pl-PL"/>
        </w:rPr>
        <w:t xml:space="preserve">– </w:t>
      </w:r>
    </w:p>
    <w:p w:rsidR="001B50A4" w:rsidRDefault="00925113" w:rsidP="001B50A4">
      <w:pPr>
        <w:pStyle w:val="Tekstpodstawowy"/>
        <w:jc w:val="center"/>
        <w:rPr>
          <w:rFonts w:cstheme="minorHAnsi"/>
          <w:sz w:val="48"/>
          <w:szCs w:val="22"/>
          <w:lang w:val="pl-PL"/>
        </w:rPr>
      </w:pPr>
      <w:r>
        <w:rPr>
          <w:rFonts w:cstheme="minorHAnsi"/>
          <w:sz w:val="48"/>
          <w:szCs w:val="22"/>
          <w:lang w:val="pl-PL"/>
        </w:rPr>
        <w:t xml:space="preserve">Dodatek Macro </w:t>
      </w:r>
      <w:proofErr w:type="spellStart"/>
      <w:r>
        <w:rPr>
          <w:rFonts w:cstheme="minorHAnsi"/>
          <w:sz w:val="48"/>
          <w:szCs w:val="22"/>
          <w:lang w:val="pl-PL"/>
        </w:rPr>
        <w:t>Charts</w:t>
      </w:r>
      <w:proofErr w:type="spellEnd"/>
      <w:r>
        <w:rPr>
          <w:rFonts w:cstheme="minorHAnsi"/>
          <w:sz w:val="48"/>
          <w:szCs w:val="22"/>
          <w:lang w:val="pl-PL"/>
        </w:rPr>
        <w:t xml:space="preserve"> v 1.1</w:t>
      </w:r>
    </w:p>
    <w:p w:rsidR="001B50A4" w:rsidRDefault="001B50A4" w:rsidP="001B50A4">
      <w:pPr>
        <w:jc w:val="center"/>
        <w:rPr>
          <w:rFonts w:cstheme="minorHAnsi"/>
          <w:sz w:val="22"/>
          <w:szCs w:val="22"/>
        </w:rPr>
      </w:pPr>
      <w:r>
        <w:rPr>
          <w:rFonts w:cstheme="minorHAnsi"/>
          <w:sz w:val="22"/>
          <w:szCs w:val="22"/>
        </w:rPr>
        <w:t xml:space="preserve">Jakub Rybacki, </w:t>
      </w:r>
      <w:r>
        <w:rPr>
          <w:rFonts w:cstheme="minorHAnsi"/>
        </w:rPr>
        <w:t>jakub.rybacki@gmail.com</w:t>
      </w:r>
    </w:p>
    <w:p w:rsidR="001B50A4" w:rsidRDefault="001B50A4" w:rsidP="001B50A4">
      <w:pPr>
        <w:jc w:val="center"/>
        <w:rPr>
          <w:rFonts w:cstheme="minorHAnsi"/>
          <w:sz w:val="22"/>
          <w:szCs w:val="22"/>
        </w:rPr>
      </w:pPr>
    </w:p>
    <w:p w:rsidR="001B50A4" w:rsidRDefault="001B50A4" w:rsidP="001B50A4">
      <w:pPr>
        <w:jc w:val="center"/>
        <w:rPr>
          <w:rFonts w:cstheme="minorHAnsi"/>
          <w:sz w:val="22"/>
          <w:szCs w:val="22"/>
        </w:rPr>
      </w:pPr>
    </w:p>
    <w:p w:rsidR="001B50A4" w:rsidRDefault="001B50A4" w:rsidP="001B50A4">
      <w:pPr>
        <w:jc w:val="center"/>
        <w:rPr>
          <w:rFonts w:cstheme="minorHAnsi"/>
          <w:sz w:val="22"/>
          <w:szCs w:val="22"/>
        </w:rPr>
      </w:pPr>
    </w:p>
    <w:p w:rsidR="001B50A4" w:rsidRDefault="001B50A4" w:rsidP="001B50A4">
      <w:pPr>
        <w:jc w:val="center"/>
        <w:rPr>
          <w:rFonts w:cstheme="minorHAnsi"/>
          <w:sz w:val="22"/>
          <w:szCs w:val="22"/>
        </w:rPr>
      </w:pPr>
    </w:p>
    <w:p w:rsidR="001B50A4" w:rsidRDefault="001B50A4" w:rsidP="001B50A4">
      <w:pPr>
        <w:jc w:val="center"/>
        <w:rPr>
          <w:rFonts w:cstheme="minorHAnsi"/>
          <w:sz w:val="22"/>
          <w:szCs w:val="22"/>
        </w:rPr>
      </w:pPr>
    </w:p>
    <w:p w:rsidR="001B50A4" w:rsidRDefault="001B50A4" w:rsidP="001B50A4">
      <w:pPr>
        <w:jc w:val="center"/>
        <w:rPr>
          <w:rFonts w:cstheme="minorHAnsi"/>
          <w:sz w:val="22"/>
          <w:szCs w:val="22"/>
        </w:rPr>
      </w:pPr>
    </w:p>
    <w:p w:rsidR="001B50A4" w:rsidRDefault="001B50A4" w:rsidP="001B50A4">
      <w:pPr>
        <w:jc w:val="center"/>
        <w:rPr>
          <w:rFonts w:cstheme="minorHAnsi"/>
          <w:sz w:val="22"/>
          <w:szCs w:val="22"/>
        </w:rPr>
      </w:pPr>
    </w:p>
    <w:p w:rsidR="001B50A4" w:rsidRDefault="001B50A4" w:rsidP="001B50A4">
      <w:pPr>
        <w:rPr>
          <w:rFonts w:cstheme="minorHAnsi"/>
          <w:sz w:val="22"/>
          <w:szCs w:val="22"/>
        </w:rPr>
      </w:pPr>
    </w:p>
    <w:p w:rsidR="001B50A4" w:rsidRDefault="001B50A4" w:rsidP="001B50A4">
      <w:pPr>
        <w:rPr>
          <w:rFonts w:cstheme="minorHAnsi"/>
          <w:sz w:val="22"/>
          <w:szCs w:val="22"/>
        </w:rPr>
      </w:pPr>
    </w:p>
    <w:p w:rsidR="001B50A4" w:rsidRDefault="001B50A4" w:rsidP="001B50A4">
      <w:pPr>
        <w:rPr>
          <w:rFonts w:cstheme="minorHAnsi"/>
          <w:sz w:val="22"/>
          <w:szCs w:val="22"/>
        </w:rPr>
      </w:pPr>
    </w:p>
    <w:p w:rsidR="001B50A4" w:rsidRDefault="001B50A4" w:rsidP="001B50A4">
      <w:pPr>
        <w:rPr>
          <w:rFonts w:cstheme="minorHAnsi"/>
          <w:sz w:val="22"/>
          <w:szCs w:val="22"/>
        </w:rPr>
      </w:pPr>
    </w:p>
    <w:p w:rsidR="001B50A4" w:rsidRDefault="001B50A4" w:rsidP="001B50A4">
      <w:pPr>
        <w:rPr>
          <w:rFonts w:cstheme="minorHAnsi"/>
          <w:sz w:val="22"/>
          <w:szCs w:val="22"/>
        </w:rPr>
      </w:pPr>
    </w:p>
    <w:p w:rsidR="001B50A4" w:rsidRDefault="001B50A4" w:rsidP="001B50A4">
      <w:pPr>
        <w:rPr>
          <w:rFonts w:cstheme="minorHAnsi"/>
          <w:sz w:val="22"/>
          <w:szCs w:val="22"/>
        </w:rPr>
      </w:pPr>
    </w:p>
    <w:p w:rsidR="001B50A4" w:rsidRDefault="001B50A4" w:rsidP="001B50A4">
      <w:pPr>
        <w:jc w:val="center"/>
        <w:rPr>
          <w:rFonts w:cstheme="minorHAnsi"/>
        </w:rPr>
      </w:pPr>
      <w:r>
        <w:rPr>
          <w:rFonts w:cstheme="minorHAnsi"/>
          <w:sz w:val="22"/>
          <w:szCs w:val="22"/>
        </w:rPr>
        <w:t>Warszawa, 201</w:t>
      </w:r>
      <w:r>
        <w:rPr>
          <w:rFonts w:cstheme="minorHAnsi"/>
        </w:rPr>
        <w:t>4</w:t>
      </w:r>
    </w:p>
    <w:sdt>
      <w:sdtPr>
        <w:rPr>
          <w:b w:val="0"/>
          <w:bCs w:val="0"/>
          <w:caps w:val="0"/>
          <w:color w:val="auto"/>
          <w:spacing w:val="0"/>
          <w:sz w:val="20"/>
          <w:szCs w:val="20"/>
          <w:lang w:bidi="ar-SA"/>
        </w:rPr>
        <w:id w:val="-2014898788"/>
        <w:docPartObj>
          <w:docPartGallery w:val="Table of Contents"/>
          <w:docPartUnique/>
        </w:docPartObj>
      </w:sdtPr>
      <w:sdtEndPr/>
      <w:sdtContent>
        <w:p w:rsidR="007F135C" w:rsidRDefault="007F135C">
          <w:pPr>
            <w:pStyle w:val="Nagwekspisutreci"/>
          </w:pPr>
          <w:r>
            <w:t>Spis treści</w:t>
          </w:r>
        </w:p>
        <w:p w:rsidR="001C4487" w:rsidRDefault="007F135C">
          <w:pPr>
            <w:pStyle w:val="Spistreci1"/>
            <w:tabs>
              <w:tab w:val="right" w:leader="dot" w:pos="9062"/>
            </w:tabs>
            <w:rPr>
              <w:noProof/>
              <w:sz w:val="22"/>
              <w:szCs w:val="22"/>
              <w:lang w:eastAsia="pl-PL"/>
            </w:rPr>
          </w:pPr>
          <w:r>
            <w:fldChar w:fldCharType="begin"/>
          </w:r>
          <w:r>
            <w:instrText xml:space="preserve"> TOC \o "1-3" \h \z \u </w:instrText>
          </w:r>
          <w:r>
            <w:fldChar w:fldCharType="separate"/>
          </w:r>
          <w:bookmarkStart w:id="0" w:name="_GoBack"/>
          <w:bookmarkEnd w:id="0"/>
          <w:r w:rsidR="001C4487" w:rsidRPr="009A5486">
            <w:rPr>
              <w:rStyle w:val="Hipercze"/>
              <w:noProof/>
            </w:rPr>
            <w:fldChar w:fldCharType="begin"/>
          </w:r>
          <w:r w:rsidR="001C4487" w:rsidRPr="009A5486">
            <w:rPr>
              <w:rStyle w:val="Hipercze"/>
              <w:noProof/>
            </w:rPr>
            <w:instrText xml:space="preserve"> </w:instrText>
          </w:r>
          <w:r w:rsidR="001C4487">
            <w:rPr>
              <w:noProof/>
            </w:rPr>
            <w:instrText>HYPERLINK \l "_Toc382209394"</w:instrText>
          </w:r>
          <w:r w:rsidR="001C4487" w:rsidRPr="009A5486">
            <w:rPr>
              <w:rStyle w:val="Hipercze"/>
              <w:noProof/>
            </w:rPr>
            <w:instrText xml:space="preserve"> </w:instrText>
          </w:r>
          <w:r w:rsidR="001C4487" w:rsidRPr="009A5486">
            <w:rPr>
              <w:rStyle w:val="Hipercze"/>
              <w:noProof/>
            </w:rPr>
          </w:r>
          <w:r w:rsidR="001C4487" w:rsidRPr="009A5486">
            <w:rPr>
              <w:rStyle w:val="Hipercze"/>
              <w:noProof/>
            </w:rPr>
            <w:fldChar w:fldCharType="separate"/>
          </w:r>
          <w:r w:rsidR="001C4487" w:rsidRPr="009A5486">
            <w:rPr>
              <w:rStyle w:val="Hipercze"/>
              <w:noProof/>
            </w:rPr>
            <w:t>Słowem wstępu</w:t>
          </w:r>
          <w:r w:rsidR="001C4487">
            <w:rPr>
              <w:noProof/>
              <w:webHidden/>
            </w:rPr>
            <w:tab/>
          </w:r>
          <w:r w:rsidR="001C4487">
            <w:rPr>
              <w:noProof/>
              <w:webHidden/>
            </w:rPr>
            <w:fldChar w:fldCharType="begin"/>
          </w:r>
          <w:r w:rsidR="001C4487">
            <w:rPr>
              <w:noProof/>
              <w:webHidden/>
            </w:rPr>
            <w:instrText xml:space="preserve"> PAGEREF _Toc382209394 \h </w:instrText>
          </w:r>
          <w:r w:rsidR="001C4487">
            <w:rPr>
              <w:noProof/>
              <w:webHidden/>
            </w:rPr>
          </w:r>
          <w:r w:rsidR="001C4487">
            <w:rPr>
              <w:noProof/>
              <w:webHidden/>
            </w:rPr>
            <w:fldChar w:fldCharType="separate"/>
          </w:r>
          <w:r w:rsidR="001C4487">
            <w:rPr>
              <w:noProof/>
              <w:webHidden/>
            </w:rPr>
            <w:t>3</w:t>
          </w:r>
          <w:r w:rsidR="001C4487">
            <w:rPr>
              <w:noProof/>
              <w:webHidden/>
            </w:rPr>
            <w:fldChar w:fldCharType="end"/>
          </w:r>
          <w:r w:rsidR="001C4487" w:rsidRPr="009A5486">
            <w:rPr>
              <w:rStyle w:val="Hipercze"/>
              <w:noProof/>
            </w:rPr>
            <w:fldChar w:fldCharType="end"/>
          </w:r>
        </w:p>
        <w:p w:rsidR="001C4487" w:rsidRDefault="001C4487">
          <w:pPr>
            <w:pStyle w:val="Spistreci1"/>
            <w:tabs>
              <w:tab w:val="right" w:leader="dot" w:pos="9062"/>
            </w:tabs>
            <w:rPr>
              <w:noProof/>
              <w:sz w:val="22"/>
              <w:szCs w:val="22"/>
              <w:lang w:eastAsia="pl-PL"/>
            </w:rPr>
          </w:pPr>
          <w:hyperlink w:anchor="_Toc382209395" w:history="1">
            <w:r w:rsidRPr="009A5486">
              <w:rPr>
                <w:rStyle w:val="Hipercze"/>
                <w:noProof/>
              </w:rPr>
              <w:t>Instalacja</w:t>
            </w:r>
            <w:r>
              <w:rPr>
                <w:noProof/>
                <w:webHidden/>
              </w:rPr>
              <w:tab/>
            </w:r>
            <w:r>
              <w:rPr>
                <w:noProof/>
                <w:webHidden/>
              </w:rPr>
              <w:fldChar w:fldCharType="begin"/>
            </w:r>
            <w:r>
              <w:rPr>
                <w:noProof/>
                <w:webHidden/>
              </w:rPr>
              <w:instrText xml:space="preserve"> PAGEREF _Toc382209395 \h </w:instrText>
            </w:r>
            <w:r>
              <w:rPr>
                <w:noProof/>
                <w:webHidden/>
              </w:rPr>
            </w:r>
            <w:r>
              <w:rPr>
                <w:noProof/>
                <w:webHidden/>
              </w:rPr>
              <w:fldChar w:fldCharType="separate"/>
            </w:r>
            <w:r>
              <w:rPr>
                <w:noProof/>
                <w:webHidden/>
              </w:rPr>
              <w:t>3</w:t>
            </w:r>
            <w:r>
              <w:rPr>
                <w:noProof/>
                <w:webHidden/>
              </w:rPr>
              <w:fldChar w:fldCharType="end"/>
            </w:r>
          </w:hyperlink>
        </w:p>
        <w:p w:rsidR="001C4487" w:rsidRDefault="001C4487">
          <w:pPr>
            <w:pStyle w:val="Spistreci2"/>
            <w:tabs>
              <w:tab w:val="right" w:leader="dot" w:pos="9062"/>
            </w:tabs>
            <w:rPr>
              <w:noProof/>
              <w:sz w:val="22"/>
              <w:szCs w:val="22"/>
              <w:lang w:eastAsia="pl-PL"/>
            </w:rPr>
          </w:pPr>
          <w:hyperlink w:anchor="_Toc382209396" w:history="1">
            <w:r w:rsidRPr="009A5486">
              <w:rPr>
                <w:rStyle w:val="Hipercze"/>
                <w:noProof/>
              </w:rPr>
              <w:t>Skróty Klawiszowe</w:t>
            </w:r>
            <w:r>
              <w:rPr>
                <w:noProof/>
                <w:webHidden/>
              </w:rPr>
              <w:tab/>
            </w:r>
            <w:r>
              <w:rPr>
                <w:noProof/>
                <w:webHidden/>
              </w:rPr>
              <w:fldChar w:fldCharType="begin"/>
            </w:r>
            <w:r>
              <w:rPr>
                <w:noProof/>
                <w:webHidden/>
              </w:rPr>
              <w:instrText xml:space="preserve"> PAGEREF _Toc382209396 \h </w:instrText>
            </w:r>
            <w:r>
              <w:rPr>
                <w:noProof/>
                <w:webHidden/>
              </w:rPr>
            </w:r>
            <w:r>
              <w:rPr>
                <w:noProof/>
                <w:webHidden/>
              </w:rPr>
              <w:fldChar w:fldCharType="separate"/>
            </w:r>
            <w:r>
              <w:rPr>
                <w:noProof/>
                <w:webHidden/>
              </w:rPr>
              <w:t>3</w:t>
            </w:r>
            <w:r>
              <w:rPr>
                <w:noProof/>
                <w:webHidden/>
              </w:rPr>
              <w:fldChar w:fldCharType="end"/>
            </w:r>
          </w:hyperlink>
        </w:p>
        <w:p w:rsidR="001C4487" w:rsidRDefault="001C4487">
          <w:pPr>
            <w:pStyle w:val="Spistreci1"/>
            <w:tabs>
              <w:tab w:val="right" w:leader="dot" w:pos="9062"/>
            </w:tabs>
            <w:rPr>
              <w:noProof/>
              <w:sz w:val="22"/>
              <w:szCs w:val="22"/>
              <w:lang w:eastAsia="pl-PL"/>
            </w:rPr>
          </w:pPr>
          <w:hyperlink w:anchor="_Toc382209397" w:history="1">
            <w:r w:rsidRPr="009A5486">
              <w:rPr>
                <w:rStyle w:val="Hipercze"/>
                <w:noProof/>
              </w:rPr>
              <w:t>Wykres Sezonowości</w:t>
            </w:r>
            <w:r>
              <w:rPr>
                <w:noProof/>
                <w:webHidden/>
              </w:rPr>
              <w:tab/>
            </w:r>
            <w:r>
              <w:rPr>
                <w:noProof/>
                <w:webHidden/>
              </w:rPr>
              <w:fldChar w:fldCharType="begin"/>
            </w:r>
            <w:r>
              <w:rPr>
                <w:noProof/>
                <w:webHidden/>
              </w:rPr>
              <w:instrText xml:space="preserve"> PAGEREF _Toc382209397 \h </w:instrText>
            </w:r>
            <w:r>
              <w:rPr>
                <w:noProof/>
                <w:webHidden/>
              </w:rPr>
            </w:r>
            <w:r>
              <w:rPr>
                <w:noProof/>
                <w:webHidden/>
              </w:rPr>
              <w:fldChar w:fldCharType="separate"/>
            </w:r>
            <w:r>
              <w:rPr>
                <w:noProof/>
                <w:webHidden/>
              </w:rPr>
              <w:t>4</w:t>
            </w:r>
            <w:r>
              <w:rPr>
                <w:noProof/>
                <w:webHidden/>
              </w:rPr>
              <w:fldChar w:fldCharType="end"/>
            </w:r>
          </w:hyperlink>
        </w:p>
        <w:p w:rsidR="001C4487" w:rsidRDefault="001C4487">
          <w:pPr>
            <w:pStyle w:val="Spistreci2"/>
            <w:tabs>
              <w:tab w:val="right" w:leader="dot" w:pos="9062"/>
            </w:tabs>
            <w:rPr>
              <w:noProof/>
              <w:sz w:val="22"/>
              <w:szCs w:val="22"/>
              <w:lang w:eastAsia="pl-PL"/>
            </w:rPr>
          </w:pPr>
          <w:hyperlink w:anchor="_Toc382209398" w:history="1">
            <w:r w:rsidRPr="009A5486">
              <w:rPr>
                <w:rStyle w:val="Hipercze"/>
                <w:noProof/>
              </w:rPr>
              <w:t>Upiększanie Wykresu</w:t>
            </w:r>
            <w:r>
              <w:rPr>
                <w:noProof/>
                <w:webHidden/>
              </w:rPr>
              <w:tab/>
            </w:r>
            <w:r>
              <w:rPr>
                <w:noProof/>
                <w:webHidden/>
              </w:rPr>
              <w:fldChar w:fldCharType="begin"/>
            </w:r>
            <w:r>
              <w:rPr>
                <w:noProof/>
                <w:webHidden/>
              </w:rPr>
              <w:instrText xml:space="preserve"> PAGEREF _Toc382209398 \h </w:instrText>
            </w:r>
            <w:r>
              <w:rPr>
                <w:noProof/>
                <w:webHidden/>
              </w:rPr>
            </w:r>
            <w:r>
              <w:rPr>
                <w:noProof/>
                <w:webHidden/>
              </w:rPr>
              <w:fldChar w:fldCharType="separate"/>
            </w:r>
            <w:r>
              <w:rPr>
                <w:noProof/>
                <w:webHidden/>
              </w:rPr>
              <w:t>5</w:t>
            </w:r>
            <w:r>
              <w:rPr>
                <w:noProof/>
                <w:webHidden/>
              </w:rPr>
              <w:fldChar w:fldCharType="end"/>
            </w:r>
          </w:hyperlink>
        </w:p>
        <w:p w:rsidR="001C4487" w:rsidRDefault="001C4487">
          <w:pPr>
            <w:pStyle w:val="Spistreci2"/>
            <w:tabs>
              <w:tab w:val="right" w:leader="dot" w:pos="9062"/>
            </w:tabs>
            <w:rPr>
              <w:noProof/>
              <w:sz w:val="22"/>
              <w:szCs w:val="22"/>
              <w:lang w:eastAsia="pl-PL"/>
            </w:rPr>
          </w:pPr>
          <w:hyperlink w:anchor="_Toc382209399" w:history="1">
            <w:r w:rsidRPr="009A5486">
              <w:rPr>
                <w:rStyle w:val="Hipercze"/>
                <w:noProof/>
              </w:rPr>
              <w:t>Przykładowe Zastosowania</w:t>
            </w:r>
            <w:r>
              <w:rPr>
                <w:noProof/>
                <w:webHidden/>
              </w:rPr>
              <w:tab/>
            </w:r>
            <w:r>
              <w:rPr>
                <w:noProof/>
                <w:webHidden/>
              </w:rPr>
              <w:fldChar w:fldCharType="begin"/>
            </w:r>
            <w:r>
              <w:rPr>
                <w:noProof/>
                <w:webHidden/>
              </w:rPr>
              <w:instrText xml:space="preserve"> PAGEREF _Toc382209399 \h </w:instrText>
            </w:r>
            <w:r>
              <w:rPr>
                <w:noProof/>
                <w:webHidden/>
              </w:rPr>
            </w:r>
            <w:r>
              <w:rPr>
                <w:noProof/>
                <w:webHidden/>
              </w:rPr>
              <w:fldChar w:fldCharType="separate"/>
            </w:r>
            <w:r>
              <w:rPr>
                <w:noProof/>
                <w:webHidden/>
              </w:rPr>
              <w:t>6</w:t>
            </w:r>
            <w:r>
              <w:rPr>
                <w:noProof/>
                <w:webHidden/>
              </w:rPr>
              <w:fldChar w:fldCharType="end"/>
            </w:r>
          </w:hyperlink>
        </w:p>
        <w:p w:rsidR="001C4487" w:rsidRDefault="001C4487">
          <w:pPr>
            <w:pStyle w:val="Spistreci1"/>
            <w:tabs>
              <w:tab w:val="right" w:leader="dot" w:pos="9062"/>
            </w:tabs>
            <w:rPr>
              <w:noProof/>
              <w:sz w:val="22"/>
              <w:szCs w:val="22"/>
              <w:lang w:eastAsia="pl-PL"/>
            </w:rPr>
          </w:pPr>
          <w:hyperlink w:anchor="_Toc382209400" w:history="1">
            <w:r w:rsidRPr="009A5486">
              <w:rPr>
                <w:rStyle w:val="Hipercze"/>
                <w:noProof/>
              </w:rPr>
              <w:t>Wykres Rozrzutu – próba przekrojowa</w:t>
            </w:r>
            <w:r>
              <w:rPr>
                <w:noProof/>
                <w:webHidden/>
              </w:rPr>
              <w:tab/>
            </w:r>
            <w:r>
              <w:rPr>
                <w:noProof/>
                <w:webHidden/>
              </w:rPr>
              <w:fldChar w:fldCharType="begin"/>
            </w:r>
            <w:r>
              <w:rPr>
                <w:noProof/>
                <w:webHidden/>
              </w:rPr>
              <w:instrText xml:space="preserve"> PAGEREF _Toc382209400 \h </w:instrText>
            </w:r>
            <w:r>
              <w:rPr>
                <w:noProof/>
                <w:webHidden/>
              </w:rPr>
            </w:r>
            <w:r>
              <w:rPr>
                <w:noProof/>
                <w:webHidden/>
              </w:rPr>
              <w:fldChar w:fldCharType="separate"/>
            </w:r>
            <w:r>
              <w:rPr>
                <w:noProof/>
                <w:webHidden/>
              </w:rPr>
              <w:t>7</w:t>
            </w:r>
            <w:r>
              <w:rPr>
                <w:noProof/>
                <w:webHidden/>
              </w:rPr>
              <w:fldChar w:fldCharType="end"/>
            </w:r>
          </w:hyperlink>
        </w:p>
        <w:p w:rsidR="001C4487" w:rsidRDefault="001C4487">
          <w:pPr>
            <w:pStyle w:val="Spistreci2"/>
            <w:tabs>
              <w:tab w:val="right" w:leader="dot" w:pos="9062"/>
            </w:tabs>
            <w:rPr>
              <w:noProof/>
              <w:sz w:val="22"/>
              <w:szCs w:val="22"/>
              <w:lang w:eastAsia="pl-PL"/>
            </w:rPr>
          </w:pPr>
          <w:hyperlink w:anchor="_Toc382209401" w:history="1">
            <w:r w:rsidRPr="009A5486">
              <w:rPr>
                <w:rStyle w:val="Hipercze"/>
                <w:noProof/>
              </w:rPr>
              <w:t>Upiększanie Wykresu</w:t>
            </w:r>
            <w:r>
              <w:rPr>
                <w:noProof/>
                <w:webHidden/>
              </w:rPr>
              <w:tab/>
            </w:r>
            <w:r>
              <w:rPr>
                <w:noProof/>
                <w:webHidden/>
              </w:rPr>
              <w:fldChar w:fldCharType="begin"/>
            </w:r>
            <w:r>
              <w:rPr>
                <w:noProof/>
                <w:webHidden/>
              </w:rPr>
              <w:instrText xml:space="preserve"> PAGEREF _Toc382209401 \h </w:instrText>
            </w:r>
            <w:r>
              <w:rPr>
                <w:noProof/>
                <w:webHidden/>
              </w:rPr>
            </w:r>
            <w:r>
              <w:rPr>
                <w:noProof/>
                <w:webHidden/>
              </w:rPr>
              <w:fldChar w:fldCharType="separate"/>
            </w:r>
            <w:r>
              <w:rPr>
                <w:noProof/>
                <w:webHidden/>
              </w:rPr>
              <w:t>8</w:t>
            </w:r>
            <w:r>
              <w:rPr>
                <w:noProof/>
                <w:webHidden/>
              </w:rPr>
              <w:fldChar w:fldCharType="end"/>
            </w:r>
          </w:hyperlink>
        </w:p>
        <w:p w:rsidR="001C4487" w:rsidRDefault="001C4487">
          <w:pPr>
            <w:pStyle w:val="Spistreci2"/>
            <w:tabs>
              <w:tab w:val="right" w:leader="dot" w:pos="9062"/>
            </w:tabs>
            <w:rPr>
              <w:noProof/>
              <w:sz w:val="22"/>
              <w:szCs w:val="22"/>
              <w:lang w:eastAsia="pl-PL"/>
            </w:rPr>
          </w:pPr>
          <w:hyperlink w:anchor="_Toc382209402" w:history="1">
            <w:r w:rsidRPr="009A5486">
              <w:rPr>
                <w:rStyle w:val="Hipercze"/>
                <w:noProof/>
              </w:rPr>
              <w:t>Znane Błędy</w:t>
            </w:r>
            <w:r>
              <w:rPr>
                <w:noProof/>
                <w:webHidden/>
              </w:rPr>
              <w:tab/>
            </w:r>
            <w:r>
              <w:rPr>
                <w:noProof/>
                <w:webHidden/>
              </w:rPr>
              <w:fldChar w:fldCharType="begin"/>
            </w:r>
            <w:r>
              <w:rPr>
                <w:noProof/>
                <w:webHidden/>
              </w:rPr>
              <w:instrText xml:space="preserve"> PAGEREF _Toc382209402 \h </w:instrText>
            </w:r>
            <w:r>
              <w:rPr>
                <w:noProof/>
                <w:webHidden/>
              </w:rPr>
            </w:r>
            <w:r>
              <w:rPr>
                <w:noProof/>
                <w:webHidden/>
              </w:rPr>
              <w:fldChar w:fldCharType="separate"/>
            </w:r>
            <w:r>
              <w:rPr>
                <w:noProof/>
                <w:webHidden/>
              </w:rPr>
              <w:t>9</w:t>
            </w:r>
            <w:r>
              <w:rPr>
                <w:noProof/>
                <w:webHidden/>
              </w:rPr>
              <w:fldChar w:fldCharType="end"/>
            </w:r>
          </w:hyperlink>
        </w:p>
        <w:p w:rsidR="001C4487" w:rsidRDefault="001C4487">
          <w:pPr>
            <w:pStyle w:val="Spistreci1"/>
            <w:tabs>
              <w:tab w:val="right" w:leader="dot" w:pos="9062"/>
            </w:tabs>
            <w:rPr>
              <w:noProof/>
              <w:sz w:val="22"/>
              <w:szCs w:val="22"/>
              <w:lang w:eastAsia="pl-PL"/>
            </w:rPr>
          </w:pPr>
          <w:hyperlink w:anchor="_Toc382209403" w:history="1">
            <w:r w:rsidRPr="009A5486">
              <w:rPr>
                <w:rStyle w:val="Hipercze"/>
                <w:noProof/>
              </w:rPr>
              <w:t>Wykres Rozrzutu – Szereg Czasowy</w:t>
            </w:r>
            <w:r>
              <w:rPr>
                <w:noProof/>
                <w:webHidden/>
              </w:rPr>
              <w:tab/>
            </w:r>
            <w:r>
              <w:rPr>
                <w:noProof/>
                <w:webHidden/>
              </w:rPr>
              <w:fldChar w:fldCharType="begin"/>
            </w:r>
            <w:r>
              <w:rPr>
                <w:noProof/>
                <w:webHidden/>
              </w:rPr>
              <w:instrText xml:space="preserve"> PAGEREF _Toc382209403 \h </w:instrText>
            </w:r>
            <w:r>
              <w:rPr>
                <w:noProof/>
                <w:webHidden/>
              </w:rPr>
            </w:r>
            <w:r>
              <w:rPr>
                <w:noProof/>
                <w:webHidden/>
              </w:rPr>
              <w:fldChar w:fldCharType="separate"/>
            </w:r>
            <w:r>
              <w:rPr>
                <w:noProof/>
                <w:webHidden/>
              </w:rPr>
              <w:t>10</w:t>
            </w:r>
            <w:r>
              <w:rPr>
                <w:noProof/>
                <w:webHidden/>
              </w:rPr>
              <w:fldChar w:fldCharType="end"/>
            </w:r>
          </w:hyperlink>
        </w:p>
        <w:p w:rsidR="00037CB8" w:rsidRDefault="007F135C">
          <w:r>
            <w:rPr>
              <w:b/>
              <w:bCs/>
            </w:rPr>
            <w:fldChar w:fldCharType="end"/>
          </w:r>
        </w:p>
      </w:sdtContent>
    </w:sdt>
    <w:p w:rsidR="007F135C" w:rsidRDefault="00037CB8">
      <w:r>
        <w:br w:type="page"/>
      </w:r>
    </w:p>
    <w:p w:rsidR="007F135C" w:rsidRDefault="007F135C" w:rsidP="007F135C">
      <w:pPr>
        <w:pStyle w:val="Nagwek1"/>
      </w:pPr>
      <w:bookmarkStart w:id="1" w:name="_Toc382209394"/>
      <w:r>
        <w:lastRenderedPageBreak/>
        <w:t>Słowem wstępu</w:t>
      </w:r>
      <w:bookmarkEnd w:id="1"/>
    </w:p>
    <w:p w:rsidR="00FC3627" w:rsidRDefault="007F135C" w:rsidP="00650B3D">
      <w:pPr>
        <w:jc w:val="both"/>
      </w:pPr>
      <w:r>
        <w:t xml:space="preserve">Niniejszy poradnik powstał w celu przedstawienia </w:t>
      </w:r>
      <w:r w:rsidR="00FC3627">
        <w:t xml:space="preserve">działania dodatku Macro </w:t>
      </w:r>
      <w:proofErr w:type="spellStart"/>
      <w:r w:rsidR="00FC3627">
        <w:t>Charts</w:t>
      </w:r>
      <w:proofErr w:type="spellEnd"/>
      <w:r w:rsidR="00FC3627">
        <w:t>. Dodatek ten umożliwia szybkie przygotowanie następujących wykresów:</w:t>
      </w:r>
    </w:p>
    <w:p w:rsidR="00FC3627" w:rsidRDefault="00FC3627" w:rsidP="00424D2D">
      <w:pPr>
        <w:pStyle w:val="Akapitzlist"/>
        <w:numPr>
          <w:ilvl w:val="0"/>
          <w:numId w:val="3"/>
        </w:numPr>
        <w:jc w:val="both"/>
      </w:pPr>
      <w:r>
        <w:t>Wykres sezonowości (</w:t>
      </w:r>
      <w:proofErr w:type="spellStart"/>
      <w:r w:rsidR="00F42656">
        <w:t>S</w:t>
      </w:r>
      <w:r>
        <w:t>easonal</w:t>
      </w:r>
      <w:proofErr w:type="spellEnd"/>
      <w:r>
        <w:t xml:space="preserve"> plot) – przedsta</w:t>
      </w:r>
      <w:r w:rsidR="008117D5">
        <w:t>wia zgrupowane obserwacje przypadające na wybrane okres.</w:t>
      </w:r>
      <w:r w:rsidR="004B41AF">
        <w:t xml:space="preserve"> Wykres zapewnia znaczne wsparcie w przypadku analizy procesów o silnie sezonowym charakterze np. dynamika cen żywności, produkcji budowlanej, czy sprzedaży detalicznej.</w:t>
      </w:r>
    </w:p>
    <w:p w:rsidR="00FC3627" w:rsidRDefault="00FC3627" w:rsidP="00424D2D">
      <w:pPr>
        <w:pStyle w:val="Akapitzlist"/>
        <w:numPr>
          <w:ilvl w:val="0"/>
          <w:numId w:val="3"/>
        </w:numPr>
        <w:jc w:val="both"/>
      </w:pPr>
      <w:r>
        <w:t>Wykres rozrzutu</w:t>
      </w:r>
      <w:r w:rsidR="00CA1004">
        <w:t xml:space="preserve"> w próbie przekrojowej – program ten rozszerza standardową funkcjonalność</w:t>
      </w:r>
      <w:r w:rsidR="00857C2D">
        <w:t xml:space="preserve"> arkusza Excel o możliwość szybkiego wprowadzenia etykiet</w:t>
      </w:r>
      <w:r w:rsidR="004B41AF">
        <w:t xml:space="preserve">, niezbędną podczas analiz </w:t>
      </w:r>
    </w:p>
    <w:p w:rsidR="0012053E" w:rsidRDefault="0012053E" w:rsidP="00424D2D">
      <w:pPr>
        <w:pStyle w:val="Akapitzlist"/>
        <w:numPr>
          <w:ilvl w:val="0"/>
          <w:numId w:val="3"/>
        </w:numPr>
        <w:jc w:val="both"/>
      </w:pPr>
      <w:r>
        <w:t xml:space="preserve">Wykres rozrzutu w szeregu czasowym – program </w:t>
      </w:r>
      <w:r w:rsidR="00D465C6">
        <w:t xml:space="preserve">kilkoma kliknięciami </w:t>
      </w:r>
      <w:r>
        <w:t xml:space="preserve">pozwala na szybki pogląd zachowania relacji na przestrzeni cyklu biznesowego. </w:t>
      </w:r>
    </w:p>
    <w:p w:rsidR="00F6296A" w:rsidRDefault="00F6296A" w:rsidP="00F6296A">
      <w:pPr>
        <w:pStyle w:val="Nagwek1"/>
      </w:pPr>
      <w:bookmarkStart w:id="2" w:name="_Toc382209395"/>
      <w:r>
        <w:t>Instalacja</w:t>
      </w:r>
      <w:bookmarkEnd w:id="2"/>
    </w:p>
    <w:p w:rsidR="00246893" w:rsidRDefault="00246893" w:rsidP="00246893">
      <w:pPr>
        <w:jc w:val="both"/>
      </w:pPr>
      <w:r>
        <w:t xml:space="preserve">Instalacja dodatku wprowadza zmiany dwutorowo – w zakładce ‘Dodatki’ pojawi się specjalne menu dla </w:t>
      </w:r>
      <w:r w:rsidR="0062242E">
        <w:t>pakietu, takie jak na rysunku poniżej.</w:t>
      </w:r>
    </w:p>
    <w:p w:rsidR="00246893" w:rsidRDefault="00246893" w:rsidP="00EB45C8">
      <w:pPr>
        <w:jc w:val="center"/>
      </w:pPr>
      <w:r>
        <w:rPr>
          <w:noProof/>
          <w:lang w:eastAsia="pl-PL"/>
        </w:rPr>
        <w:drawing>
          <wp:inline distT="0" distB="0" distL="0" distR="0">
            <wp:extent cx="2273300" cy="989965"/>
            <wp:effectExtent l="0" t="0" r="0" b="63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300" cy="989965"/>
                    </a:xfrm>
                    <a:prstGeom prst="rect">
                      <a:avLst/>
                    </a:prstGeom>
                    <a:noFill/>
                    <a:ln>
                      <a:noFill/>
                    </a:ln>
                  </pic:spPr>
                </pic:pic>
              </a:graphicData>
            </a:graphic>
          </wp:inline>
        </w:drawing>
      </w:r>
    </w:p>
    <w:p w:rsidR="0062242E" w:rsidRPr="00246893" w:rsidRDefault="0062242E" w:rsidP="0062242E">
      <w:r>
        <w:t>Dodatkowo funkcjonalność pakietu zostanie podpisana pod skróty klawiszowe. Te zaprezentowane są poniżej.</w:t>
      </w:r>
    </w:p>
    <w:p w:rsidR="00F6296A" w:rsidRDefault="00246893" w:rsidP="00246893">
      <w:pPr>
        <w:pStyle w:val="Nagwek2"/>
      </w:pPr>
      <w:bookmarkStart w:id="3" w:name="_Toc382209396"/>
      <w:r>
        <w:t>Skróty Klawiszowe</w:t>
      </w:r>
      <w:bookmarkEnd w:id="3"/>
    </w:p>
    <w:p w:rsidR="00037CB8" w:rsidRPr="00037CB8" w:rsidRDefault="00037CB8" w:rsidP="00037CB8"/>
    <w:tbl>
      <w:tblPr>
        <w:tblStyle w:val="Jasnalistaakcent1"/>
        <w:tblW w:w="0" w:type="auto"/>
        <w:tblLook w:val="04A0" w:firstRow="1" w:lastRow="0" w:firstColumn="1" w:lastColumn="0" w:noHBand="0" w:noVBand="1"/>
      </w:tblPr>
      <w:tblGrid>
        <w:gridCol w:w="4606"/>
        <w:gridCol w:w="4606"/>
      </w:tblGrid>
      <w:tr w:rsidR="00037CB8" w:rsidTr="00037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037CB8" w:rsidRPr="00037CB8" w:rsidRDefault="000F2B8F" w:rsidP="00037CB8">
            <w:pPr>
              <w:jc w:val="center"/>
            </w:pPr>
            <w:r w:rsidRPr="00037CB8">
              <w:br w:type="page"/>
            </w:r>
            <w:r w:rsidR="00037CB8" w:rsidRPr="00037CB8">
              <w:t>Skrót</w:t>
            </w:r>
          </w:p>
        </w:tc>
        <w:tc>
          <w:tcPr>
            <w:tcW w:w="4606" w:type="dxa"/>
          </w:tcPr>
          <w:p w:rsidR="00037CB8" w:rsidRPr="00037CB8" w:rsidRDefault="00037CB8" w:rsidP="00037CB8">
            <w:pPr>
              <w:jc w:val="center"/>
              <w:cnfStyle w:val="100000000000" w:firstRow="1" w:lastRow="0" w:firstColumn="0" w:lastColumn="0" w:oddVBand="0" w:evenVBand="0" w:oddHBand="0" w:evenHBand="0" w:firstRowFirstColumn="0" w:firstRowLastColumn="0" w:lastRowFirstColumn="0" w:lastRowLastColumn="0"/>
            </w:pPr>
            <w:r w:rsidRPr="00037CB8">
              <w:t>Zastosowanie</w:t>
            </w:r>
          </w:p>
        </w:tc>
      </w:tr>
      <w:tr w:rsidR="00037CB8" w:rsidTr="0003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037CB8" w:rsidRDefault="00037CB8" w:rsidP="00037CB8">
            <w:pPr>
              <w:jc w:val="center"/>
            </w:pPr>
            <w:r>
              <w:t>CTRL + SHIFT + F4</w:t>
            </w:r>
          </w:p>
        </w:tc>
        <w:tc>
          <w:tcPr>
            <w:tcW w:w="4606" w:type="dxa"/>
          </w:tcPr>
          <w:p w:rsidR="00037CB8" w:rsidRDefault="00037CB8" w:rsidP="00037CB8">
            <w:pPr>
              <w:jc w:val="center"/>
              <w:cnfStyle w:val="000000100000" w:firstRow="0" w:lastRow="0" w:firstColumn="0" w:lastColumn="0" w:oddVBand="0" w:evenVBand="0" w:oddHBand="1" w:evenHBand="0" w:firstRowFirstColumn="0" w:firstRowLastColumn="0" w:lastRowFirstColumn="0" w:lastRowLastColumn="0"/>
            </w:pPr>
            <w:r>
              <w:t>Wykres sezonowości</w:t>
            </w:r>
          </w:p>
        </w:tc>
      </w:tr>
      <w:tr w:rsidR="00037CB8" w:rsidTr="00037CB8">
        <w:tc>
          <w:tcPr>
            <w:cnfStyle w:val="001000000000" w:firstRow="0" w:lastRow="0" w:firstColumn="1" w:lastColumn="0" w:oddVBand="0" w:evenVBand="0" w:oddHBand="0" w:evenHBand="0" w:firstRowFirstColumn="0" w:firstRowLastColumn="0" w:lastRowFirstColumn="0" w:lastRowLastColumn="0"/>
            <w:tcW w:w="4606" w:type="dxa"/>
          </w:tcPr>
          <w:p w:rsidR="00037CB8" w:rsidRDefault="00037CB8" w:rsidP="00276F61">
            <w:pPr>
              <w:jc w:val="center"/>
            </w:pPr>
            <w:r>
              <w:t>ALT + SHIFT + F4</w:t>
            </w:r>
          </w:p>
        </w:tc>
        <w:tc>
          <w:tcPr>
            <w:tcW w:w="4606" w:type="dxa"/>
          </w:tcPr>
          <w:p w:rsidR="00037CB8" w:rsidRDefault="00F26074" w:rsidP="00037CB8">
            <w:pPr>
              <w:jc w:val="center"/>
              <w:cnfStyle w:val="000000000000" w:firstRow="0" w:lastRow="0" w:firstColumn="0" w:lastColumn="0" w:oddVBand="0" w:evenVBand="0" w:oddHBand="0" w:evenHBand="0" w:firstRowFirstColumn="0" w:firstRowLastColumn="0" w:lastRowFirstColumn="0" w:lastRowLastColumn="0"/>
            </w:pPr>
            <w:r>
              <w:t>Wykres rozrzutu – próba przekrojowa</w:t>
            </w:r>
          </w:p>
        </w:tc>
      </w:tr>
      <w:tr w:rsidR="00037CB8" w:rsidTr="0003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037CB8" w:rsidRDefault="00037CB8" w:rsidP="00037CB8">
            <w:pPr>
              <w:jc w:val="center"/>
            </w:pPr>
            <w:r>
              <w:t>CTRL + ALT + F4</w:t>
            </w:r>
          </w:p>
        </w:tc>
        <w:tc>
          <w:tcPr>
            <w:tcW w:w="4606" w:type="dxa"/>
          </w:tcPr>
          <w:p w:rsidR="00037CB8" w:rsidRDefault="00F26074" w:rsidP="00F26074">
            <w:pPr>
              <w:jc w:val="center"/>
              <w:cnfStyle w:val="000000100000" w:firstRow="0" w:lastRow="0" w:firstColumn="0" w:lastColumn="0" w:oddVBand="0" w:evenVBand="0" w:oddHBand="1" w:evenHBand="0" w:firstRowFirstColumn="0" w:firstRowLastColumn="0" w:lastRowFirstColumn="0" w:lastRowLastColumn="0"/>
            </w:pPr>
            <w:r>
              <w:t>Wykres rozrzutu – szereg czasowy</w:t>
            </w:r>
          </w:p>
        </w:tc>
      </w:tr>
    </w:tbl>
    <w:p w:rsidR="00037CB8" w:rsidRDefault="00037CB8" w:rsidP="000F2B8F"/>
    <w:p w:rsidR="00037CB8" w:rsidRDefault="00037CB8" w:rsidP="000F2B8F">
      <w:r>
        <w:br w:type="page"/>
      </w:r>
    </w:p>
    <w:p w:rsidR="00F6296A" w:rsidRDefault="00F6296A" w:rsidP="00F6296A">
      <w:pPr>
        <w:pStyle w:val="Nagwek1"/>
      </w:pPr>
      <w:bookmarkStart w:id="4" w:name="_Toc382209397"/>
      <w:r>
        <w:lastRenderedPageBreak/>
        <w:t>Wykres Sezonowości</w:t>
      </w:r>
      <w:bookmarkEnd w:id="4"/>
    </w:p>
    <w:p w:rsidR="00A36D27" w:rsidRDefault="00DD258C" w:rsidP="00650B3D">
      <w:pPr>
        <w:jc w:val="both"/>
      </w:pPr>
      <w:r>
        <w:t xml:space="preserve"> </w:t>
      </w:r>
      <w:r w:rsidR="005D12C5">
        <w:t xml:space="preserve">Wybór opcji </w:t>
      </w:r>
      <w:proofErr w:type="spellStart"/>
      <w:r w:rsidR="005D12C5" w:rsidRPr="003B4F43">
        <w:rPr>
          <w:b/>
          <w:i/>
        </w:rPr>
        <w:t>Seasonal</w:t>
      </w:r>
      <w:proofErr w:type="spellEnd"/>
      <w:r w:rsidR="005D12C5" w:rsidRPr="003B4F43">
        <w:rPr>
          <w:b/>
          <w:i/>
        </w:rPr>
        <w:t xml:space="preserve"> plot</w:t>
      </w:r>
      <w:r w:rsidR="005D12C5">
        <w:t xml:space="preserve">, bądź wykorzystanie skrótu </w:t>
      </w:r>
      <w:r w:rsidR="005D12C5" w:rsidRPr="005D12C5">
        <w:rPr>
          <w:b/>
        </w:rPr>
        <w:t>CTRL + SHIFT + F4</w:t>
      </w:r>
      <w:r w:rsidR="003B4F43">
        <w:rPr>
          <w:b/>
        </w:rPr>
        <w:t xml:space="preserve"> </w:t>
      </w:r>
      <w:r w:rsidR="003B4F43">
        <w:t>wywoła pojawienie się</w:t>
      </w:r>
      <w:r w:rsidR="002A5AC4">
        <w:t xml:space="preserve"> następującego</w:t>
      </w:r>
      <w:r w:rsidR="00650B3D">
        <w:t xml:space="preserve"> formularza:</w:t>
      </w:r>
    </w:p>
    <w:p w:rsidR="00D22F98" w:rsidRDefault="00D22F98" w:rsidP="00D22F98">
      <w:pPr>
        <w:ind w:firstLine="708"/>
        <w:jc w:val="center"/>
      </w:pPr>
      <w:r>
        <w:rPr>
          <w:noProof/>
          <w:lang w:eastAsia="pl-PL"/>
        </w:rPr>
        <w:drawing>
          <wp:inline distT="0" distB="0" distL="0" distR="0" wp14:anchorId="5B2FBA7D" wp14:editId="4380B101">
            <wp:extent cx="3667125" cy="1981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67125" cy="1981200"/>
                    </a:xfrm>
                    <a:prstGeom prst="rect">
                      <a:avLst/>
                    </a:prstGeom>
                  </pic:spPr>
                </pic:pic>
              </a:graphicData>
            </a:graphic>
          </wp:inline>
        </w:drawing>
      </w:r>
    </w:p>
    <w:p w:rsidR="00052FD6" w:rsidRDefault="00AB6595" w:rsidP="006E1C7A">
      <w:pPr>
        <w:jc w:val="both"/>
      </w:pPr>
      <w:r>
        <w:t>W pierwszym z pól (</w:t>
      </w:r>
      <w:r w:rsidRPr="006E1C7A">
        <w:rPr>
          <w:b/>
        </w:rPr>
        <w:t>Y</w:t>
      </w:r>
      <w:r w:rsidR="006E1C7A">
        <w:t xml:space="preserve">) zakreślamy wybraną przez nas serię, pole </w:t>
      </w:r>
      <w:r w:rsidR="006E1C7A" w:rsidRPr="00591B75">
        <w:rPr>
          <w:b/>
        </w:rPr>
        <w:t>liczba okresów</w:t>
      </w:r>
      <w:r w:rsidR="006E1C7A">
        <w:t xml:space="preserve"> zgodnie z intuicją wyznacza ile obserwacji wchodzi w skład pojedynczego cyklu (</w:t>
      </w:r>
      <w:r w:rsidR="00591B75">
        <w:t xml:space="preserve">np. ile jest </w:t>
      </w:r>
      <w:r w:rsidR="006E1C7A">
        <w:t xml:space="preserve">miesięcy w roku, kwartałów w roku </w:t>
      </w:r>
      <w:proofErr w:type="spellStart"/>
      <w:r w:rsidR="006E1C7A">
        <w:t>etc</w:t>
      </w:r>
      <w:proofErr w:type="spellEnd"/>
      <w:r w:rsidR="006E1C7A">
        <w:t>). Domyślnie pole te będzie zawierało</w:t>
      </w:r>
      <w:r w:rsidR="009E49FA">
        <w:t xml:space="preserve"> wartość</w:t>
      </w:r>
      <w:r w:rsidR="006E1C7A">
        <w:t xml:space="preserve"> 12</w:t>
      </w:r>
      <w:r w:rsidR="009E49FA">
        <w:t xml:space="preserve"> przeznaczoną dla danych o miesięcznym interwale. Ostatecznie w polu </w:t>
      </w:r>
      <w:r w:rsidR="009E49FA" w:rsidRPr="009E49FA">
        <w:rPr>
          <w:b/>
        </w:rPr>
        <w:t>pierwszy rok</w:t>
      </w:r>
      <w:r w:rsidR="009E49FA">
        <w:rPr>
          <w:b/>
        </w:rPr>
        <w:t xml:space="preserve"> </w:t>
      </w:r>
      <w:r w:rsidR="009E49FA">
        <w:t>podajemy liczbę przedstawiającą pierwszy rok (np. 2014). Należy zauważyć, że program nie rozpozna daty, ani rozwiązań tekstowych</w:t>
      </w:r>
      <w:r w:rsidR="00052FD6">
        <w:t>.</w:t>
      </w:r>
    </w:p>
    <w:p w:rsidR="00052FD6" w:rsidRDefault="00052FD6" w:rsidP="006E1C7A">
      <w:pPr>
        <w:jc w:val="both"/>
      </w:pPr>
      <w:r>
        <w:t>Produktem takiego rozwiązania będzie wykres liniowy, gdzie pojedyncza seria opisuje obserwacje w kolejnych n-okresach wchodzących w skład jednego cyklu</w:t>
      </w:r>
      <w:r w:rsidR="00A06439">
        <w:t>, przypominająca wykres zaprezentowany poniżej</w:t>
      </w:r>
      <w:r>
        <w:t>.</w:t>
      </w:r>
    </w:p>
    <w:p w:rsidR="00052FD6" w:rsidRDefault="00052FD6" w:rsidP="00052FD6">
      <w:pPr>
        <w:jc w:val="center"/>
      </w:pPr>
      <w:r>
        <w:rPr>
          <w:noProof/>
          <w:lang w:eastAsia="pl-PL"/>
        </w:rPr>
        <w:drawing>
          <wp:inline distT="0" distB="0" distL="0" distR="0" wp14:anchorId="1BCBA789" wp14:editId="2B412EE1">
            <wp:extent cx="4572000" cy="2743200"/>
            <wp:effectExtent l="0" t="0" r="19050" b="1905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7928" w:rsidRDefault="00ED7928" w:rsidP="00ED7928">
      <w:pPr>
        <w:jc w:val="both"/>
      </w:pPr>
      <w:r>
        <w:t>Taki wykres sam w sobie potrafi dostarczyć cennych informacji, równocześnie można mieć zarzuty na temat jego czytelności. Dlatego też na następnej stronie skupimy się na poprawie efektów wizualnych za pomocą zwykłych, standardowych opcji pakietu Excel.</w:t>
      </w:r>
    </w:p>
    <w:p w:rsidR="00ED7928" w:rsidRDefault="00ED7928" w:rsidP="00ED7928">
      <w:r>
        <w:br w:type="page"/>
      </w:r>
    </w:p>
    <w:p w:rsidR="009E49FA" w:rsidRPr="009E49FA" w:rsidRDefault="009E49FA" w:rsidP="003122CF">
      <w:pPr>
        <w:pStyle w:val="Nagwek2"/>
      </w:pPr>
      <w:r>
        <w:lastRenderedPageBreak/>
        <w:t xml:space="preserve"> </w:t>
      </w:r>
      <w:bookmarkStart w:id="5" w:name="_Toc382209398"/>
      <w:r w:rsidR="003122CF">
        <w:t>Upiększanie Wykresu</w:t>
      </w:r>
      <w:bookmarkEnd w:id="5"/>
    </w:p>
    <w:p w:rsidR="007E2C85" w:rsidRDefault="00B24951" w:rsidP="006E1C7A">
      <w:pPr>
        <w:jc w:val="both"/>
      </w:pPr>
      <w:r>
        <w:t>O ile makro miało raczej na celu zgrupowanie poszczególnych n-obserwacji w pojedynczy wykres, o tyle estetyka była raczej zagadnieniem drugoplanowym.</w:t>
      </w:r>
      <w:r w:rsidR="00ED7928">
        <w:t xml:space="preserve"> Nic jednak straconego – wprowadzenie większej przejrzystości</w:t>
      </w:r>
      <w:r w:rsidR="007D12A1">
        <w:t xml:space="preserve"> możliwe jest w trzech ruchach:</w:t>
      </w:r>
    </w:p>
    <w:p w:rsidR="007D12A1" w:rsidRPr="007D12A1" w:rsidRDefault="007D12A1" w:rsidP="007D12A1">
      <w:pPr>
        <w:pStyle w:val="Akapitzlist"/>
        <w:numPr>
          <w:ilvl w:val="0"/>
          <w:numId w:val="4"/>
        </w:numPr>
        <w:jc w:val="both"/>
      </w:pPr>
      <w:r>
        <w:t xml:space="preserve">Likwidujemy linie siatki – klikamy na siatce, następnie naciskamy klawisz </w:t>
      </w:r>
      <w:proofErr w:type="spellStart"/>
      <w:r w:rsidRPr="007D12A1">
        <w:rPr>
          <w:b/>
        </w:rPr>
        <w:t>delete</w:t>
      </w:r>
      <w:proofErr w:type="spellEnd"/>
    </w:p>
    <w:p w:rsidR="007D12A1" w:rsidRDefault="007D12A1" w:rsidP="007D12A1">
      <w:pPr>
        <w:pStyle w:val="Akapitzlist"/>
        <w:numPr>
          <w:ilvl w:val="0"/>
          <w:numId w:val="4"/>
        </w:numPr>
        <w:jc w:val="both"/>
      </w:pPr>
      <w:r>
        <w:t xml:space="preserve">Zmieniamy typ wykresu na kolumnowy </w:t>
      </w:r>
      <w:r w:rsidR="00C205D5">
        <w:t>–</w:t>
      </w:r>
      <w:r>
        <w:t xml:space="preserve"> </w:t>
      </w:r>
      <w:r w:rsidR="00C205D5">
        <w:t xml:space="preserve">klikamy prawy przycisk myszy na obszarze wykresu, po czym wybieramy opcję  </w:t>
      </w:r>
      <w:r w:rsidR="00C205D5" w:rsidRPr="00C205D5">
        <w:rPr>
          <w:i/>
        </w:rPr>
        <w:t>‘Zmień typ wykresu</w:t>
      </w:r>
      <w:r w:rsidR="00C205D5">
        <w:t xml:space="preserve">’. Z dostępnych opcji wybieramy </w:t>
      </w:r>
      <w:r w:rsidR="006751EC">
        <w:t xml:space="preserve">pierwszy </w:t>
      </w:r>
      <w:r w:rsidR="00C205D5">
        <w:t xml:space="preserve">wykres kolumnowy.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509"/>
      </w:tblGrid>
      <w:tr w:rsidR="006751EC" w:rsidTr="006751EC">
        <w:tc>
          <w:tcPr>
            <w:tcW w:w="4606" w:type="dxa"/>
          </w:tcPr>
          <w:p w:rsidR="006751EC" w:rsidRDefault="006751EC" w:rsidP="006751EC">
            <w:pPr>
              <w:jc w:val="both"/>
            </w:pP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2830195</wp:posOffset>
                      </wp:positionH>
                      <wp:positionV relativeFrom="paragraph">
                        <wp:posOffset>206347</wp:posOffset>
                      </wp:positionV>
                      <wp:extent cx="940904" cy="424070"/>
                      <wp:effectExtent l="38100" t="76200" r="12065" b="0"/>
                      <wp:wrapNone/>
                      <wp:docPr id="34" name="Strzałka w prawo 34"/>
                      <wp:cNvGraphicFramePr/>
                      <a:graphic xmlns:a="http://schemas.openxmlformats.org/drawingml/2006/main">
                        <a:graphicData uri="http://schemas.microsoft.com/office/word/2010/wordprocessingShape">
                          <wps:wsp>
                            <wps:cNvSpPr/>
                            <wps:spPr>
                              <a:xfrm rot="21062825">
                                <a:off x="0" y="0"/>
                                <a:ext cx="940904" cy="42407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34" o:spid="_x0000_s1026" type="#_x0000_t13" style="position:absolute;margin-left:222.85pt;margin-top:16.25pt;width:74.1pt;height:33.4pt;rotation:-586738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22riwIAAFcFAAAOAAAAZHJzL2Uyb0RvYy54bWysVF9P3DAMf5+07xDlffQPhcGJHjqBmCYh&#10;QDsmnkOaXKu1cebkrnc87rvte81JewUxtEnT8hDFsf2z/Yuds/Nt17KNQteAKXl2kHKmjISqMauS&#10;f72/+nDCmfPCVKIFo0q+U46fz9+/O+vtTOVQQ1spZARi3Ky3Ja+9t7MkcbJWnXAHYJUhpQbshCcR&#10;V0mFoif0rk3yND1OesDKIkjlHN1eDko+j/haK+lvtXbKs7bklJuPO8b9MezJ/EzMVihs3cgxDfEP&#10;WXSiMRR0groUXrA1Nr9BdY1EcKD9gYQuAa0bqWINVE2WvqpmWQurYi1EjrMTTe7/wcqbzR2ypir5&#10;YcGZER290dLjk/j545tgPbNEKDDSEVG9dTOyX9o7HCVHx1D1VmPHEIjdPEuP85P8KJJB5bFt5Ho3&#10;ca22nkm6PC3S05RCSlIVeZF+jG+RDFgB06LznxR0lIIjYGxWtV8gQh+hxebaecqCHPaGJIQMh5zi&#10;ye9aFaBa80VpKpLC5tE7tpe6aJFtBDWGkFIZfzioalGp4foopRUKpyCTR5QiYEDWTdtO2NmfsAeY&#10;0T64qtidk3P6d+fJI0YG4yfnrjGAbwG0PhsL0IP9nqSBmsDSI1Q7aoH4ejQhzsqrhhi/Fs7fCaRh&#10;oEsacH9Lm26hLzmMJ85qwKe37oM99ShpOetpuEruvq8FKs7az4a69zQrijCNUSiOPuYk4EvN40uN&#10;WXcXQM+UxeziMdj7dn/UCN0D/QOLEJVUwkiKXXLpcS9c+GHo6SeRarGIZjSBVvhrs7QygAdWQy/d&#10;bx8E2rHtPPXrDewHUcxe9d1gGzwNLNYedBOb8pnXkW+a3tg4408TvoeXcrR6/g/nvwAAAP//AwBQ&#10;SwMEFAAGAAgAAAAhAAbmUvvgAAAACQEAAA8AAABkcnMvZG93bnJldi54bWxMj8FOwzAQRO9I/IO1&#10;SNyoQ9KUJmRTVUiII23h0N7c2I0D9jqKnTb9e8wJjqt5mnlbrSZr2FkNvnOE8DhLgClqnOyoRfj8&#10;eH1YAvNBkBTGkUK4Kg+r+vamEqV0F9qq8y60LJaQLwWCDqEvOfeNVlb4mesVxezkBitCPIeWy0Fc&#10;Yrk1PE2SBbeio7igRa9etGq+d6NFSHiSLfeL97U2V/H2tU8P42aTI97fTetnYEFN4Q+GX/2oDnV0&#10;OrqRpGcGYT7PnyKKkKU5sAjkRVYAOyIURQa8rvj/D+ofAAAA//8DAFBLAQItABQABgAIAAAAIQC2&#10;gziS/gAAAOEBAAATAAAAAAAAAAAAAAAAAAAAAABbQ29udGVudF9UeXBlc10ueG1sUEsBAi0AFAAG&#10;AAgAAAAhADj9If/WAAAAlAEAAAsAAAAAAAAAAAAAAAAALwEAAF9yZWxzLy5yZWxzUEsBAi0AFAAG&#10;AAgAAAAhALwvbauLAgAAVwUAAA4AAAAAAAAAAAAAAAAALgIAAGRycy9lMm9Eb2MueG1sUEsBAi0A&#10;FAAGAAgAAAAhAAbmUvvgAAAACQEAAA8AAAAAAAAAAAAAAAAA5QQAAGRycy9kb3ducmV2LnhtbFBL&#10;BQYAAAAABAAEAPMAAADyBQAAAAA=&#10;" adj="16732" fillcolor="#9bbb59 [3206]" strokecolor="#4e6128 [1606]" strokeweight="2pt"/>
                  </w:pict>
                </mc:Fallback>
              </mc:AlternateContent>
            </w:r>
            <w:r>
              <w:rPr>
                <w:noProof/>
                <w:lang w:eastAsia="pl-PL"/>
              </w:rPr>
              <w:drawing>
                <wp:inline distT="0" distB="0" distL="0" distR="0" wp14:anchorId="3C3EE8B1" wp14:editId="5471A5AB">
                  <wp:extent cx="2898012" cy="1421546"/>
                  <wp:effectExtent l="0" t="0" r="0" b="762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4788" cy="1424870"/>
                          </a:xfrm>
                          <a:prstGeom prst="rect">
                            <a:avLst/>
                          </a:prstGeom>
                          <a:noFill/>
                          <a:ln>
                            <a:noFill/>
                          </a:ln>
                        </pic:spPr>
                      </pic:pic>
                    </a:graphicData>
                  </a:graphic>
                </wp:inline>
              </w:drawing>
            </w:r>
          </w:p>
        </w:tc>
        <w:tc>
          <w:tcPr>
            <w:tcW w:w="4606" w:type="dxa"/>
          </w:tcPr>
          <w:p w:rsidR="006751EC" w:rsidRDefault="006751EC" w:rsidP="006751EC">
            <w:pPr>
              <w:jc w:val="both"/>
            </w:pPr>
            <w:r>
              <w:rPr>
                <w:noProof/>
                <w:lang w:eastAsia="pl-PL"/>
              </w:rPr>
              <w:drawing>
                <wp:inline distT="0" distB="0" distL="0" distR="0" wp14:anchorId="26ED6305" wp14:editId="7BFC7EBF">
                  <wp:extent cx="2683158" cy="1775011"/>
                  <wp:effectExtent l="0" t="0" r="317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91070" cy="1780245"/>
                          </a:xfrm>
                          <a:prstGeom prst="rect">
                            <a:avLst/>
                          </a:prstGeom>
                        </pic:spPr>
                      </pic:pic>
                    </a:graphicData>
                  </a:graphic>
                </wp:inline>
              </w:drawing>
            </w:r>
          </w:p>
        </w:tc>
      </w:tr>
    </w:tbl>
    <w:p w:rsidR="00D00409" w:rsidRDefault="00953FA1" w:rsidP="007D12A1">
      <w:pPr>
        <w:pStyle w:val="Akapitzlist"/>
        <w:numPr>
          <w:ilvl w:val="0"/>
          <w:numId w:val="4"/>
        </w:numPr>
        <w:jc w:val="both"/>
      </w:pPr>
      <w:r>
        <w:t xml:space="preserve">Przenosimy skalę wykresu na dół  - klikamy prawy przycisk myszy na </w:t>
      </w:r>
      <w:r w:rsidR="00CA4C6C">
        <w:t xml:space="preserve">obszarze legendy, po czym wybieramy </w:t>
      </w:r>
      <w:r w:rsidR="00CA4C6C" w:rsidRPr="00CA4C6C">
        <w:rPr>
          <w:i/>
        </w:rPr>
        <w:t>‘formatuj legendę’</w:t>
      </w:r>
      <w:r w:rsidR="00CA4C6C">
        <w:t xml:space="preserve">. Pojawi się okno w którym </w:t>
      </w:r>
      <w:r w:rsidR="007A4A2F">
        <w:t>możliwy będzie wybór pozycji:</w:t>
      </w:r>
    </w:p>
    <w:p w:rsidR="00953FA1" w:rsidRDefault="00D00409" w:rsidP="00D00409">
      <w:pPr>
        <w:jc w:val="center"/>
      </w:pPr>
      <w:r>
        <w:rPr>
          <w:noProof/>
          <w:lang w:eastAsia="pl-PL"/>
        </w:rPr>
        <w:drawing>
          <wp:inline distT="0" distB="0" distL="0" distR="0" wp14:anchorId="0E621A63" wp14:editId="649AF059">
            <wp:extent cx="1918741" cy="1807033"/>
            <wp:effectExtent l="0" t="0" r="5715" b="317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31543" cy="1819089"/>
                    </a:xfrm>
                    <a:prstGeom prst="rect">
                      <a:avLst/>
                    </a:prstGeom>
                  </pic:spPr>
                </pic:pic>
              </a:graphicData>
            </a:graphic>
          </wp:inline>
        </w:drawing>
      </w:r>
    </w:p>
    <w:p w:rsidR="00953FA1" w:rsidRDefault="002621D5" w:rsidP="00953FA1">
      <w:pPr>
        <w:jc w:val="both"/>
      </w:pPr>
      <w:r>
        <w:t>Ostatecznie e</w:t>
      </w:r>
      <w:r w:rsidR="00953FA1">
        <w:t>fektem naszej pracy będzie następujący wykres:</w:t>
      </w:r>
    </w:p>
    <w:p w:rsidR="00C205D5" w:rsidRPr="003B4F43" w:rsidRDefault="00FC58B9" w:rsidP="00C205D5">
      <w:pPr>
        <w:jc w:val="center"/>
      </w:pPr>
      <w:r>
        <w:rPr>
          <w:noProof/>
          <w:lang w:eastAsia="pl-PL"/>
        </w:rPr>
        <w:drawing>
          <wp:inline distT="0" distB="0" distL="0" distR="0" wp14:anchorId="26819003" wp14:editId="537E89E5">
            <wp:extent cx="4377128" cy="2413416"/>
            <wp:effectExtent l="0" t="0" r="23495" b="2540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2B8F" w:rsidRDefault="000F2B8F" w:rsidP="000F2B8F">
      <w:pPr>
        <w:pStyle w:val="Nagwek2"/>
      </w:pPr>
      <w:bookmarkStart w:id="6" w:name="_Toc382209399"/>
      <w:r>
        <w:lastRenderedPageBreak/>
        <w:t>Przykładowe Zastosowania</w:t>
      </w:r>
      <w:bookmarkEnd w:id="6"/>
    </w:p>
    <w:p w:rsidR="00AF31B4" w:rsidRDefault="00AF31B4" w:rsidP="00AF31B4">
      <w:pPr>
        <w:jc w:val="both"/>
      </w:pPr>
      <w:r>
        <w:t>Wykres zapewnia znaczne wsparcie w przypadku analizy procesów o silnie sezonowym charakterze. Przykłady takich danych stanowić mogą:</w:t>
      </w:r>
    </w:p>
    <w:p w:rsidR="00804A14" w:rsidRDefault="00AF31B4" w:rsidP="00804A14">
      <w:pPr>
        <w:pStyle w:val="Akapitzlist"/>
        <w:numPr>
          <w:ilvl w:val="0"/>
          <w:numId w:val="4"/>
        </w:numPr>
        <w:jc w:val="both"/>
      </w:pPr>
      <w:r>
        <w:t>Dynamika m/m cen żywności, produkcji budowlanej, czy sprzedaży detalicznej.</w:t>
      </w:r>
      <w:r w:rsidR="00DC3F55">
        <w:t xml:space="preserve"> </w:t>
      </w:r>
    </w:p>
    <w:p w:rsidR="00AF31B4" w:rsidRDefault="007A0A76" w:rsidP="00AF31B4">
      <w:r>
        <w:rPr>
          <w:noProof/>
          <w:lang w:eastAsia="pl-PL"/>
        </w:rPr>
        <w:drawing>
          <wp:inline distT="0" distB="0" distL="0" distR="0" wp14:anchorId="74A3AD89" wp14:editId="6C24FEF7">
            <wp:extent cx="5738070" cy="2424418"/>
            <wp:effectExtent l="0" t="0" r="15240" b="14605"/>
            <wp:docPr id="35"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24C7" w:rsidRDefault="009A24C7" w:rsidP="00085D36"/>
    <w:p w:rsidR="00815AE2" w:rsidRDefault="00815AE2" w:rsidP="00815AE2"/>
    <w:p w:rsidR="00815AE2" w:rsidRDefault="00815AE2">
      <w:r>
        <w:br w:type="page"/>
      </w:r>
    </w:p>
    <w:p w:rsidR="00815AE2" w:rsidRDefault="00815AE2" w:rsidP="00815AE2">
      <w:pPr>
        <w:pStyle w:val="Nagwek1"/>
      </w:pPr>
      <w:bookmarkStart w:id="7" w:name="_Toc382209400"/>
      <w:r>
        <w:lastRenderedPageBreak/>
        <w:t>Wykres Rozrzutu – próba przekrojowa</w:t>
      </w:r>
      <w:bookmarkEnd w:id="7"/>
    </w:p>
    <w:p w:rsidR="0082533E" w:rsidRDefault="0082533E" w:rsidP="00650B3D">
      <w:pPr>
        <w:jc w:val="both"/>
      </w:pPr>
      <w:r>
        <w:t xml:space="preserve">Wybór opcji </w:t>
      </w:r>
      <w:proofErr w:type="spellStart"/>
      <w:r>
        <w:rPr>
          <w:b/>
          <w:i/>
        </w:rPr>
        <w:t>Scatter</w:t>
      </w:r>
      <w:proofErr w:type="spellEnd"/>
      <w:r>
        <w:rPr>
          <w:b/>
          <w:i/>
        </w:rPr>
        <w:t xml:space="preserve"> Generator – cross </w:t>
      </w:r>
      <w:proofErr w:type="spellStart"/>
      <w:r>
        <w:rPr>
          <w:b/>
          <w:i/>
        </w:rPr>
        <w:t>section</w:t>
      </w:r>
      <w:proofErr w:type="spellEnd"/>
      <w:r>
        <w:rPr>
          <w:b/>
          <w:i/>
        </w:rPr>
        <w:t>,</w:t>
      </w:r>
      <w:r w:rsidRPr="003B4F43">
        <w:rPr>
          <w:b/>
          <w:i/>
        </w:rPr>
        <w:t xml:space="preserve"> </w:t>
      </w:r>
      <w:r>
        <w:t xml:space="preserve">bądź wykorzystanie skrótu </w:t>
      </w:r>
      <w:r>
        <w:rPr>
          <w:b/>
        </w:rPr>
        <w:t>ALT</w:t>
      </w:r>
      <w:r w:rsidRPr="005D12C5">
        <w:rPr>
          <w:b/>
        </w:rPr>
        <w:t xml:space="preserve"> + SHIFT + F4</w:t>
      </w:r>
      <w:r>
        <w:rPr>
          <w:b/>
        </w:rPr>
        <w:t xml:space="preserve"> </w:t>
      </w:r>
      <w:r>
        <w:t>wywoła pojawien</w:t>
      </w:r>
      <w:r w:rsidR="00650B3D">
        <w:t>ie się następującego formularza: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66478" w:rsidTr="00266478">
        <w:tc>
          <w:tcPr>
            <w:tcW w:w="4606" w:type="dxa"/>
          </w:tcPr>
          <w:p w:rsidR="00266478" w:rsidRDefault="00266478" w:rsidP="0082533E">
            <w:r>
              <w:rPr>
                <w:noProof/>
                <w:lang w:eastAsia="pl-PL"/>
              </w:rPr>
              <w:drawing>
                <wp:inline distT="0" distB="0" distL="0" distR="0" wp14:anchorId="6B60FCA4" wp14:editId="02C91CA3">
                  <wp:extent cx="2928851" cy="1954635"/>
                  <wp:effectExtent l="0" t="0" r="5080" b="762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28396" cy="1954331"/>
                          </a:xfrm>
                          <a:prstGeom prst="rect">
                            <a:avLst/>
                          </a:prstGeom>
                        </pic:spPr>
                      </pic:pic>
                    </a:graphicData>
                  </a:graphic>
                </wp:inline>
              </w:drawing>
            </w:r>
          </w:p>
        </w:tc>
        <w:tc>
          <w:tcPr>
            <w:tcW w:w="4606" w:type="dxa"/>
          </w:tcPr>
          <w:p w:rsidR="00266478" w:rsidRDefault="00266478" w:rsidP="0082533E">
            <w:r>
              <w:rPr>
                <w:noProof/>
                <w:lang w:eastAsia="pl-PL"/>
              </w:rPr>
              <w:drawing>
                <wp:inline distT="0" distB="0" distL="0" distR="0" wp14:anchorId="785C52D5" wp14:editId="08E2A960">
                  <wp:extent cx="2928851" cy="1954635"/>
                  <wp:effectExtent l="0" t="0" r="5080" b="762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28927" cy="1954686"/>
                          </a:xfrm>
                          <a:prstGeom prst="rect">
                            <a:avLst/>
                          </a:prstGeom>
                        </pic:spPr>
                      </pic:pic>
                    </a:graphicData>
                  </a:graphic>
                </wp:inline>
              </w:drawing>
            </w:r>
          </w:p>
        </w:tc>
      </w:tr>
    </w:tbl>
    <w:p w:rsidR="0082533E" w:rsidRDefault="00266478" w:rsidP="007B655D">
      <w:pPr>
        <w:jc w:val="both"/>
      </w:pPr>
      <w:r>
        <w:t xml:space="preserve">Pierwsza karta zapewnia możliwość </w:t>
      </w:r>
      <w:r w:rsidR="00513339">
        <w:t>stworzenia nowego wykresu,</w:t>
      </w:r>
      <w:r w:rsidR="00837B19">
        <w:t xml:space="preserve"> pola </w:t>
      </w:r>
      <w:r w:rsidR="00837B19" w:rsidRPr="00837B19">
        <w:rPr>
          <w:b/>
        </w:rPr>
        <w:t>X</w:t>
      </w:r>
      <w:r w:rsidR="00837B19">
        <w:t xml:space="preserve"> i </w:t>
      </w:r>
      <w:r w:rsidR="00837B19" w:rsidRPr="00837B19">
        <w:rPr>
          <w:b/>
        </w:rPr>
        <w:t>Y</w:t>
      </w:r>
      <w:r w:rsidR="00837B19">
        <w:t xml:space="preserve"> służą do wskazania dwóch serii (o równej długości) w których znajdują się dane, które</w:t>
      </w:r>
      <w:r w:rsidR="00FD1880">
        <w:t xml:space="preserve"> chcemy ze sobą skojarzyć, </w:t>
      </w:r>
      <w:proofErr w:type="spellStart"/>
      <w:r w:rsidR="00F959C1" w:rsidRPr="00F959C1">
        <w:rPr>
          <w:b/>
        </w:rPr>
        <w:t>Labels</w:t>
      </w:r>
      <w:proofErr w:type="spellEnd"/>
      <w:r w:rsidR="00F959C1">
        <w:rPr>
          <w:b/>
        </w:rPr>
        <w:t xml:space="preserve"> </w:t>
      </w:r>
      <w:r w:rsidR="00F959C1">
        <w:t xml:space="preserve">zgodnie z intuicją powinno zawierać </w:t>
      </w:r>
      <w:r w:rsidR="007B655D">
        <w:t>nazwę pod którą identyfikować będziemy daną obserwacje (skrót waluty danego kraju, rejestracji samochodowej etc.)</w:t>
      </w:r>
    </w:p>
    <w:p w:rsidR="00E53797" w:rsidRDefault="00E53797" w:rsidP="007B655D">
      <w:pPr>
        <w:jc w:val="both"/>
      </w:pPr>
      <w:r>
        <w:t xml:space="preserve">W </w:t>
      </w:r>
      <w:r w:rsidR="00382668">
        <w:t xml:space="preserve">karcie </w:t>
      </w:r>
      <w:r>
        <w:t>edycji możliwa jest zmiana pozycji obydwu osi</w:t>
      </w:r>
      <w:r w:rsidR="00382668">
        <w:t xml:space="preserve"> (seria X staje się serią Y i na odwrót)</w:t>
      </w:r>
      <w:r>
        <w:t>, bądź</w:t>
      </w:r>
      <w:r w:rsidR="00382668">
        <w:t xml:space="preserve"> też</w:t>
      </w:r>
      <w:r>
        <w:t xml:space="preserve"> odwrócenie jednej ze skali.</w:t>
      </w:r>
    </w:p>
    <w:p w:rsidR="00A863F7" w:rsidRDefault="00C74FD8" w:rsidP="007B655D">
      <w:pPr>
        <w:jc w:val="both"/>
      </w:pPr>
      <w:r>
        <w:t>Efekt przeprowadzenia takiego makra widoczny jest na obrazku poniżej:</w:t>
      </w:r>
    </w:p>
    <w:p w:rsidR="007B655D" w:rsidRDefault="007B655D" w:rsidP="0044324F">
      <w:pPr>
        <w:jc w:val="center"/>
      </w:pPr>
      <w:r>
        <w:rPr>
          <w:noProof/>
          <w:lang w:eastAsia="pl-PL"/>
        </w:rPr>
        <w:drawing>
          <wp:inline distT="0" distB="0" distL="0" distR="0" wp14:anchorId="7B915707" wp14:editId="406CBBAC">
            <wp:extent cx="4572000" cy="2743200"/>
            <wp:effectExtent l="0" t="0" r="19050" b="19050"/>
            <wp:docPr id="38" name="Wykr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58F0" w:rsidRDefault="00F558F0" w:rsidP="00F558F0">
      <w:r>
        <w:t>Podobnie jak w wypadku wykresu sezonowości możemy podjąć kolejne k</w:t>
      </w:r>
      <w:r w:rsidR="0051714E">
        <w:t>roki dla poprawy estetyki grafu.</w:t>
      </w:r>
    </w:p>
    <w:p w:rsidR="0051714E" w:rsidRDefault="0051714E">
      <w:r>
        <w:br w:type="page"/>
      </w:r>
    </w:p>
    <w:p w:rsidR="0051714E" w:rsidRDefault="0051714E" w:rsidP="0051714E">
      <w:pPr>
        <w:pStyle w:val="Nagwek2"/>
      </w:pPr>
      <w:bookmarkStart w:id="8" w:name="_Toc382209401"/>
      <w:r>
        <w:lastRenderedPageBreak/>
        <w:t>Upiększanie Wykresu</w:t>
      </w:r>
      <w:bookmarkEnd w:id="8"/>
    </w:p>
    <w:p w:rsidR="00E53797" w:rsidRDefault="00E53797" w:rsidP="006C5AA4">
      <w:pPr>
        <w:jc w:val="both"/>
      </w:pPr>
      <w:r>
        <w:t xml:space="preserve">Poprawę jakości wykresu przeprowadzamy </w:t>
      </w:r>
      <w:r w:rsidR="00AB056D">
        <w:t xml:space="preserve">przy wykorzystaniu standardowych narzędzi pakietu Office – pierwszym jej krokiem </w:t>
      </w:r>
      <w:r w:rsidR="00F65798">
        <w:t xml:space="preserve">będzie dopasowanie skali, tą możemy przeprowadzić klikając prawym </w:t>
      </w:r>
      <w:r w:rsidR="0041525F">
        <w:t>przyciskiem na dowolnej skali i</w:t>
      </w:r>
      <w:r w:rsidR="00F65798">
        <w:t xml:space="preserve"> </w:t>
      </w:r>
      <w:r w:rsidR="00FB584C">
        <w:t>wybier</w:t>
      </w:r>
      <w:r w:rsidR="0041525F">
        <w:t>ając</w:t>
      </w:r>
      <w:r w:rsidR="00FB584C">
        <w:t xml:space="preserve"> </w:t>
      </w:r>
      <w:r w:rsidR="00FB584C" w:rsidRPr="00FB584C">
        <w:rPr>
          <w:i/>
        </w:rPr>
        <w:t>‘formatuj oś’</w:t>
      </w:r>
      <w:r w:rsidR="00FB584C">
        <w:rPr>
          <w:i/>
        </w:rPr>
        <w:t xml:space="preserve">. </w:t>
      </w:r>
      <w:r w:rsidR="00FB584C">
        <w:t>Pojawia się menu, gdzie możemy wybrać</w:t>
      </w:r>
      <w:r w:rsidR="00C938FD">
        <w:t xml:space="preserve"> odpowiednie minima/maksima</w:t>
      </w:r>
      <w:r w:rsidR="00F34886">
        <w:t>, jak na obrazku poniżej</w:t>
      </w:r>
      <w:r w:rsidR="00C938FD">
        <w:t>.</w:t>
      </w:r>
      <w:r w:rsidR="00F34886">
        <w:t xml:space="preserve"> Nasz wykres powinien przybrać </w:t>
      </w:r>
      <w:r w:rsidR="000C1295">
        <w:t>następujący</w:t>
      </w:r>
      <w:r w:rsidR="00F34886">
        <w:t xml:space="preserve"> kształt: </w:t>
      </w:r>
      <w:r w:rsidR="00C938FD">
        <w:t xml:space="preserve"> </w:t>
      </w:r>
    </w:p>
    <w:tbl>
      <w:tblPr>
        <w:tblStyle w:val="Tabela-Siatk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370"/>
        <w:gridCol w:w="4880"/>
      </w:tblGrid>
      <w:tr w:rsidR="00C938FD" w:rsidTr="00773C44">
        <w:tc>
          <w:tcPr>
            <w:tcW w:w="4606" w:type="dxa"/>
          </w:tcPr>
          <w:p w:rsidR="00C938FD" w:rsidRDefault="00F34886" w:rsidP="006C5AA4">
            <w:pPr>
              <w:jc w:val="both"/>
            </w:pPr>
            <w:r>
              <w:rPr>
                <w:noProof/>
                <w:lang w:eastAsia="pl-PL"/>
              </w:rPr>
              <mc:AlternateContent>
                <mc:Choice Requires="wps">
                  <w:drawing>
                    <wp:anchor distT="0" distB="0" distL="114300" distR="114300" simplePos="0" relativeHeight="251660288" behindDoc="0" locked="0" layoutInCell="1" allowOverlap="1" wp14:anchorId="045E78EB" wp14:editId="37518120">
                      <wp:simplePos x="0" y="0"/>
                      <wp:positionH relativeFrom="column">
                        <wp:posOffset>1291214</wp:posOffset>
                      </wp:positionH>
                      <wp:positionV relativeFrom="paragraph">
                        <wp:posOffset>627858</wp:posOffset>
                      </wp:positionV>
                      <wp:extent cx="645459" cy="245889"/>
                      <wp:effectExtent l="142557" t="0" r="126048" b="0"/>
                      <wp:wrapNone/>
                      <wp:docPr id="41" name="Strzałka w lewo 41"/>
                      <wp:cNvGraphicFramePr/>
                      <a:graphic xmlns:a="http://schemas.openxmlformats.org/drawingml/2006/main">
                        <a:graphicData uri="http://schemas.microsoft.com/office/word/2010/wordprocessingShape">
                          <wps:wsp>
                            <wps:cNvSpPr/>
                            <wps:spPr>
                              <a:xfrm rot="7968309">
                                <a:off x="0" y="0"/>
                                <a:ext cx="645459" cy="245889"/>
                              </a:xfrm>
                              <a:prstGeom prst="lef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trzałka w lewo 41" o:spid="_x0000_s1026" type="#_x0000_t66" style="position:absolute;margin-left:101.65pt;margin-top:49.45pt;width:50.8pt;height:19.35pt;rotation:8703518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lhigIAAFQFAAAOAAAAZHJzL2Uyb0RvYy54bWysVMFu2zAMvQ/YPwi6r3ayJE2COkXQosOA&#10;og2WDj2rstQYk0WNUuKkx/3b/muU7LhFV2zAMB8MUiQfySdSZ+f72rCdQl+BLfjgJOdMWQllZR8L&#10;/vXu6sOUMx+ELYUBqwp+UJ6fL96/O2vcXA1hA6ZUyAjE+nnjCr4Jwc2zzMuNqoU/AacsGTVgLQKp&#10;+JiVKBpCr002zPNJ1gCWDkEq7+n0sjXyRcLXWslwq7VXgZmCU20h/TH9H+I/W5yJ+SMKt6lkV4b4&#10;hypqUVlK2kNdiiDYFqvfoOpKInjQ4URCnYHWlVSpB+pmkL/qZr0RTqVeiBzvepr8/4OVN7sVsqos&#10;+GjAmRU13dE64JP4+eObYA0zqgFGJuKpcX5O7mu3wk7zJMam9xprhkDkns4m04/5LFFBzbF9YvrQ&#10;M632gUk6nIzGo/GMM0mm4Wg8nc5ihqyFipAOffikoGZRKLhROiwRoUnIYnftQ+t/9KPgWF9bUZLC&#10;waiIZOwXpalDyjpM0Wm21IVBthM0FUJKZcOkNW1EqdrjcU5fV1QfkUpMgBFZV8b02IM/Ybe1dv4x&#10;VKXR7IPzvwf3ESkz2NAH15UFfAvAhHRvxKpu/Y8ktdRElh6gPND9p7uj9fBOXlVE+LXwYSWQNoEO&#10;abvDLf20gabg0EmcbQCf3jqP/jSgZOWsoc0quP++Fag4M58tje5sMBrFVUzKaHw6JAVfWh5eWuy2&#10;vgC6JppOqi6J0T+Yo6gR6nt6BJYxK5mElZS74DLgUbkI7cbTMyLVcpncaP2cCNd27WQEj6zGWbrb&#10;3wt03dQFGtcbOG6hmL+au9Y3RlpYbgPoKg3lM68d37S6aXC6Zya+DS/15PX8GC5+AQAA//8DAFBL&#10;AwQUAAYACAAAACEA6l+YV9wAAAAKAQAADwAAAGRycy9kb3ducmV2LnhtbEyPwU7DMAxA70j8Q2Qk&#10;Loil60Y7StMJFfEBbBXnrDFt1capmmwLf485wdHy0/NzuY92Ehdc/OBIwXqVgEBqnRmoU9Ac3x93&#10;IHzQZPTkCBV8o4d9dXtT6sK4K33g5RA6wRLyhVbQhzAXUvq2R6v9ys1IvPtyi9WBx6WTZtFXlttJ&#10;pkmSSasH4gu9nrHusR0PZ6sgi7WbYjt+1uk4emp25uGtCUrd38XXFxABY/iD4Tef06HippM7k/Fi&#10;UpButjmjLMufQDCQ5pstiBOT2fMaZFXK/y9UPwAAAP//AwBQSwECLQAUAAYACAAAACEAtoM4kv4A&#10;AADhAQAAEwAAAAAAAAAAAAAAAAAAAAAAW0NvbnRlbnRfVHlwZXNdLnhtbFBLAQItABQABgAIAAAA&#10;IQA4/SH/1gAAAJQBAAALAAAAAAAAAAAAAAAAAC8BAABfcmVscy8ucmVsc1BLAQItABQABgAIAAAA&#10;IQCOSmlhigIAAFQFAAAOAAAAAAAAAAAAAAAAAC4CAABkcnMvZTJvRG9jLnhtbFBLAQItABQABgAI&#10;AAAAIQDqX5hX3AAAAAoBAAAPAAAAAAAAAAAAAAAAAOQEAABkcnMvZG93bnJldi54bWxQSwUGAAAA&#10;AAQABADzAAAA7QUAAAAA&#10;" adj="4114" fillcolor="#f79646 [3209]" strokecolor="#974706 [1609]" strokeweight="2pt"/>
                  </w:pict>
                </mc:Fallback>
              </mc:AlternateContent>
            </w:r>
            <w:r w:rsidR="00C938FD">
              <w:rPr>
                <w:noProof/>
                <w:lang w:eastAsia="pl-PL"/>
              </w:rPr>
              <w:drawing>
                <wp:inline distT="0" distB="0" distL="0" distR="0" wp14:anchorId="4CD3737A" wp14:editId="6701FAC4">
                  <wp:extent cx="2607261" cy="2382050"/>
                  <wp:effectExtent l="0" t="0" r="3175"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609960" cy="2384516"/>
                          </a:xfrm>
                          <a:prstGeom prst="rect">
                            <a:avLst/>
                          </a:prstGeom>
                        </pic:spPr>
                      </pic:pic>
                    </a:graphicData>
                  </a:graphic>
                </wp:inline>
              </w:drawing>
            </w:r>
          </w:p>
        </w:tc>
        <w:tc>
          <w:tcPr>
            <w:tcW w:w="4606" w:type="dxa"/>
          </w:tcPr>
          <w:p w:rsidR="00C938FD" w:rsidRDefault="00AB7EE1" w:rsidP="006C5AA4">
            <w:pPr>
              <w:jc w:val="both"/>
            </w:pPr>
            <w:r>
              <w:rPr>
                <w:noProof/>
                <w:lang w:eastAsia="pl-PL"/>
              </w:rPr>
              <w:drawing>
                <wp:inline distT="0" distB="0" distL="0" distR="0" wp14:anchorId="51FE1D2D" wp14:editId="1CB21760">
                  <wp:extent cx="2989089" cy="2328262"/>
                  <wp:effectExtent l="0" t="0" r="20955" b="15240"/>
                  <wp:docPr id="40"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C938FD" w:rsidRPr="00773C44" w:rsidRDefault="001E097A" w:rsidP="006C5AA4">
      <w:pPr>
        <w:jc w:val="both"/>
      </w:pPr>
      <w:r>
        <w:t>W opcji wstążki wybieramy</w:t>
      </w:r>
      <w:r w:rsidR="00072885">
        <w:t xml:space="preserve"> – </w:t>
      </w:r>
      <w:r w:rsidR="00072885" w:rsidRPr="00072885">
        <w:rPr>
          <w:i/>
        </w:rPr>
        <w:t>narzędzia wykresów</w:t>
      </w:r>
      <w:r w:rsidR="00072885">
        <w:t xml:space="preserve"> -&gt; </w:t>
      </w:r>
      <w:r w:rsidR="00072885" w:rsidRPr="00072885">
        <w:rPr>
          <w:i/>
        </w:rPr>
        <w:t>układ</w:t>
      </w:r>
      <w:r w:rsidR="00072885">
        <w:t xml:space="preserve"> -&gt; </w:t>
      </w:r>
      <w:r w:rsidR="00072885" w:rsidRPr="00072885">
        <w:rPr>
          <w:i/>
        </w:rPr>
        <w:t>tytuły Osi</w:t>
      </w:r>
      <w:r w:rsidR="00773C44">
        <w:rPr>
          <w:i/>
        </w:rPr>
        <w:t xml:space="preserve">. </w:t>
      </w:r>
      <w:r w:rsidR="00773C44">
        <w:t>Możemy dodać podpis do każdej z osi, oraz linię trendu wraz ze współczynnikami równania, oraz wartością r-</w:t>
      </w:r>
      <w:proofErr w:type="spellStart"/>
      <w:r w:rsidR="00773C44">
        <w:t>squared</w:t>
      </w:r>
      <w:proofErr w:type="spellEnd"/>
      <w:r w:rsidR="00773C44">
        <w:t>:</w:t>
      </w:r>
    </w:p>
    <w:p w:rsidR="00072885" w:rsidRDefault="00072885" w:rsidP="006C5AA4">
      <w:pPr>
        <w:jc w:val="both"/>
      </w:pPr>
      <w:r>
        <w:rPr>
          <w:noProof/>
          <w:lang w:eastAsia="pl-PL"/>
        </w:rPr>
        <w:drawing>
          <wp:inline distT="0" distB="0" distL="0" distR="0">
            <wp:extent cx="5753100" cy="790575"/>
            <wp:effectExtent l="0" t="0" r="0" b="9525"/>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inline>
        </w:drawing>
      </w:r>
    </w:p>
    <w:p w:rsidR="00773C44" w:rsidRDefault="00773C44" w:rsidP="006C5AA4">
      <w:pPr>
        <w:jc w:val="both"/>
      </w:pPr>
      <w:r>
        <w:t>Finalny wykres prezentuje się następująco:</w:t>
      </w:r>
    </w:p>
    <w:p w:rsidR="00B5143F" w:rsidRDefault="00B5143F" w:rsidP="00B5143F">
      <w:pPr>
        <w:jc w:val="center"/>
      </w:pPr>
      <w:r>
        <w:rPr>
          <w:noProof/>
          <w:lang w:eastAsia="pl-PL"/>
        </w:rPr>
        <w:drawing>
          <wp:inline distT="0" distB="0" distL="0" distR="0" wp14:anchorId="07E1979B" wp14:editId="3398C654">
            <wp:extent cx="4572000" cy="2743200"/>
            <wp:effectExtent l="0" t="0" r="19050" b="19050"/>
            <wp:docPr id="43" name="Wykres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C7A94" w:rsidRDefault="00EC7A94">
      <w:r>
        <w:br w:type="page"/>
      </w:r>
    </w:p>
    <w:p w:rsidR="00EC7A94" w:rsidRDefault="00EC7A94" w:rsidP="00EC7A94">
      <w:pPr>
        <w:pStyle w:val="Nagwek2"/>
      </w:pPr>
      <w:bookmarkStart w:id="9" w:name="_Toc382209402"/>
      <w:r>
        <w:lastRenderedPageBreak/>
        <w:t>Znane Błędy</w:t>
      </w:r>
      <w:bookmarkEnd w:id="9"/>
    </w:p>
    <w:p w:rsidR="00085D36" w:rsidRDefault="00DB2DCF" w:rsidP="00DB2DCF">
      <w:r>
        <w:t>W starszych wersjach Excela w miejscu etykiety pierwszego elementu może pojawić się nazwa arkusza. W takim wypadku możliwa jest manualna zmiana etykiety</w:t>
      </w:r>
    </w:p>
    <w:p w:rsidR="00DB2DCF" w:rsidRDefault="00085D36" w:rsidP="00DB2DCF">
      <w:r>
        <w:br w:type="page"/>
      </w:r>
    </w:p>
    <w:p w:rsidR="00B5432A" w:rsidRDefault="00340986" w:rsidP="00B5432A">
      <w:pPr>
        <w:pStyle w:val="Nagwek1"/>
      </w:pPr>
      <w:bookmarkStart w:id="10" w:name="_Toc382209403"/>
      <w:r>
        <w:lastRenderedPageBreak/>
        <w:t>Wykres Rozrzutu – Szereg Czasowy</w:t>
      </w:r>
      <w:bookmarkEnd w:id="10"/>
    </w:p>
    <w:p w:rsidR="00A10187" w:rsidRPr="00A10187" w:rsidRDefault="00A10187" w:rsidP="00A10187">
      <w:r>
        <w:t xml:space="preserve">Wybór opcji </w:t>
      </w:r>
      <w:proofErr w:type="spellStart"/>
      <w:r>
        <w:rPr>
          <w:b/>
          <w:i/>
        </w:rPr>
        <w:t>Scatter</w:t>
      </w:r>
      <w:proofErr w:type="spellEnd"/>
      <w:r>
        <w:rPr>
          <w:b/>
          <w:i/>
        </w:rPr>
        <w:t xml:space="preserve"> Generator – </w:t>
      </w:r>
      <w:proofErr w:type="spellStart"/>
      <w:r w:rsidR="00EB1DC6">
        <w:rPr>
          <w:b/>
          <w:i/>
        </w:rPr>
        <w:t>time</w:t>
      </w:r>
      <w:proofErr w:type="spellEnd"/>
      <w:r w:rsidR="00EB1DC6">
        <w:rPr>
          <w:b/>
          <w:i/>
        </w:rPr>
        <w:t xml:space="preserve"> </w:t>
      </w:r>
      <w:proofErr w:type="spellStart"/>
      <w:r w:rsidR="00EB1DC6">
        <w:rPr>
          <w:b/>
          <w:i/>
        </w:rPr>
        <w:t>series</w:t>
      </w:r>
      <w:proofErr w:type="spellEnd"/>
      <w:r>
        <w:rPr>
          <w:b/>
          <w:i/>
        </w:rPr>
        <w:t>,</w:t>
      </w:r>
      <w:r w:rsidRPr="003B4F43">
        <w:rPr>
          <w:b/>
          <w:i/>
        </w:rPr>
        <w:t xml:space="preserve"> </w:t>
      </w:r>
      <w:r>
        <w:t xml:space="preserve">bądź wykorzystanie skrótu </w:t>
      </w:r>
      <w:r w:rsidRPr="00A10187">
        <w:rPr>
          <w:b/>
        </w:rPr>
        <w:t>CTRL</w:t>
      </w:r>
      <w:r>
        <w:t xml:space="preserve"> </w:t>
      </w:r>
      <w:r w:rsidRPr="005D12C5">
        <w:rPr>
          <w:b/>
        </w:rPr>
        <w:t xml:space="preserve">+ </w:t>
      </w:r>
      <w:r>
        <w:rPr>
          <w:b/>
        </w:rPr>
        <w:t>ALT</w:t>
      </w:r>
      <w:r w:rsidRPr="005D12C5">
        <w:rPr>
          <w:b/>
        </w:rPr>
        <w:t xml:space="preserve"> + F4</w:t>
      </w:r>
      <w:r>
        <w:rPr>
          <w:b/>
        </w:rPr>
        <w:t xml:space="preserve"> </w:t>
      </w:r>
      <w:r>
        <w:t>wywoła pojawienie się następującego formularza</w:t>
      </w:r>
      <w:r w:rsidR="00650B3D">
        <w:t>:</w:t>
      </w:r>
    </w:p>
    <w:p w:rsidR="00A10187" w:rsidRDefault="00A10187" w:rsidP="00734DA7">
      <w:pPr>
        <w:jc w:val="center"/>
      </w:pPr>
      <w:r>
        <w:rPr>
          <w:noProof/>
          <w:lang w:eastAsia="pl-PL"/>
        </w:rPr>
        <w:drawing>
          <wp:inline distT="0" distB="0" distL="0" distR="0" wp14:anchorId="48920586" wp14:editId="5B71D21E">
            <wp:extent cx="3667125" cy="25717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667125" cy="2571750"/>
                    </a:xfrm>
                    <a:prstGeom prst="rect">
                      <a:avLst/>
                    </a:prstGeom>
                  </pic:spPr>
                </pic:pic>
              </a:graphicData>
            </a:graphic>
          </wp:inline>
        </w:drawing>
      </w:r>
    </w:p>
    <w:p w:rsidR="00A9781E" w:rsidRDefault="00A9781E" w:rsidP="00A9781E">
      <w:pPr>
        <w:jc w:val="both"/>
      </w:pPr>
      <w:r>
        <w:t xml:space="preserve">Standardowo pola </w:t>
      </w:r>
      <w:r w:rsidRPr="00837B19">
        <w:rPr>
          <w:b/>
        </w:rPr>
        <w:t>X</w:t>
      </w:r>
      <w:r>
        <w:t xml:space="preserve"> i </w:t>
      </w:r>
      <w:r w:rsidRPr="00837B19">
        <w:rPr>
          <w:b/>
        </w:rPr>
        <w:t>Y</w:t>
      </w:r>
      <w:r>
        <w:t xml:space="preserve"> służą do wskazania dwóch serii (o równej długości) w których znajdują się dane, które chcemy ze sobą skojarzyć, </w:t>
      </w:r>
      <w:r>
        <w:rPr>
          <w:b/>
        </w:rPr>
        <w:t xml:space="preserve">Liczba okresów </w:t>
      </w:r>
      <w:r>
        <w:t xml:space="preserve">zgodnie z intuicją wyznacza ile obserwacji wchodzi w skład pojedynczego cyklu (np. ile jest miesięcy w roku, kwartałów w roku </w:t>
      </w:r>
      <w:proofErr w:type="spellStart"/>
      <w:r>
        <w:t>etc</w:t>
      </w:r>
      <w:proofErr w:type="spellEnd"/>
      <w:r>
        <w:t xml:space="preserve">). Domyślnie pole te będzie zawierało wartość 12 przeznaczoną dla danych o miesięcznym interwale. W polu </w:t>
      </w:r>
      <w:r w:rsidRPr="009E49FA">
        <w:rPr>
          <w:b/>
        </w:rPr>
        <w:t>pierwszy rok</w:t>
      </w:r>
      <w:r>
        <w:rPr>
          <w:b/>
        </w:rPr>
        <w:t xml:space="preserve"> </w:t>
      </w:r>
      <w:r>
        <w:t>podajemy liczbę przedstawiającą pierwszy rok (np. 2014). Tak jak w przypadku wykresu sezonowości program nie rozpozna daty, ani rozwiązań tekstowych.</w:t>
      </w:r>
    </w:p>
    <w:p w:rsidR="00D4506B" w:rsidRDefault="00D4506B" w:rsidP="00A9781E">
      <w:pPr>
        <w:jc w:val="both"/>
      </w:pPr>
      <w:r>
        <w:t>Uzyskany wykres przedstawia się następująco:</w:t>
      </w:r>
    </w:p>
    <w:p w:rsidR="00D4506B" w:rsidRDefault="00D4506B" w:rsidP="00D4506B">
      <w:pPr>
        <w:jc w:val="center"/>
      </w:pPr>
      <w:r>
        <w:rPr>
          <w:noProof/>
          <w:lang w:eastAsia="pl-PL"/>
        </w:rPr>
        <w:drawing>
          <wp:inline distT="0" distB="0" distL="0" distR="0" wp14:anchorId="5D428297" wp14:editId="0CA95EB8">
            <wp:extent cx="4572560" cy="2743200"/>
            <wp:effectExtent l="0" t="0" r="19050" b="1905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9781E" w:rsidRDefault="000B03AA" w:rsidP="00975A5B">
      <w:pPr>
        <w:jc w:val="both"/>
      </w:pPr>
      <w:r>
        <w:t xml:space="preserve">Podpisywany jest pierwszy okres każdego sezonu, także </w:t>
      </w:r>
      <w:r w:rsidR="00975A5B">
        <w:t xml:space="preserve">obserwacje każdego z sezonu mają inny kolor. Upiększenie wykresu przebiega analogicznie jak </w:t>
      </w:r>
      <w:r w:rsidR="00CD1BB7">
        <w:t>w przypadku poprzedniego wykresu rozrzutu</w:t>
      </w:r>
      <w:r w:rsidR="00136CC7">
        <w:t xml:space="preserve"> dla próby przekrojowej</w:t>
      </w:r>
      <w:r w:rsidR="00CD1BB7">
        <w:t>.</w:t>
      </w:r>
    </w:p>
    <w:p w:rsidR="00136CC7" w:rsidRDefault="00136CC7" w:rsidP="00975A5B">
      <w:pPr>
        <w:jc w:val="both"/>
      </w:pPr>
    </w:p>
    <w:sectPr w:rsidR="00136C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2B1" w:rsidRDefault="00EA62B1" w:rsidP="001B50A4">
      <w:pPr>
        <w:spacing w:before="0" w:after="0" w:line="240" w:lineRule="auto"/>
      </w:pPr>
      <w:r>
        <w:separator/>
      </w:r>
    </w:p>
  </w:endnote>
  <w:endnote w:type="continuationSeparator" w:id="0">
    <w:p w:rsidR="00EA62B1" w:rsidRDefault="00EA62B1" w:rsidP="001B50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2B1" w:rsidRDefault="00EA62B1" w:rsidP="001B50A4">
      <w:pPr>
        <w:spacing w:before="0" w:after="0" w:line="240" w:lineRule="auto"/>
      </w:pPr>
      <w:r>
        <w:separator/>
      </w:r>
    </w:p>
  </w:footnote>
  <w:footnote w:type="continuationSeparator" w:id="0">
    <w:p w:rsidR="00EA62B1" w:rsidRDefault="00EA62B1" w:rsidP="001B50A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E044D"/>
    <w:multiLevelType w:val="hybridMultilevel"/>
    <w:tmpl w:val="3A320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5B478B9"/>
    <w:multiLevelType w:val="hybridMultilevel"/>
    <w:tmpl w:val="3202E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9B07567"/>
    <w:multiLevelType w:val="hybridMultilevel"/>
    <w:tmpl w:val="AE5EC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FC603E5"/>
    <w:multiLevelType w:val="hybridMultilevel"/>
    <w:tmpl w:val="122EC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DC0DE6"/>
    <w:multiLevelType w:val="hybridMultilevel"/>
    <w:tmpl w:val="D690D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3F"/>
    <w:rsid w:val="00037CB8"/>
    <w:rsid w:val="00052FD6"/>
    <w:rsid w:val="0005624F"/>
    <w:rsid w:val="00072885"/>
    <w:rsid w:val="00085D36"/>
    <w:rsid w:val="000874B5"/>
    <w:rsid w:val="000B03AA"/>
    <w:rsid w:val="000C1295"/>
    <w:rsid w:val="000C585A"/>
    <w:rsid w:val="000E798D"/>
    <w:rsid w:val="000F2B8F"/>
    <w:rsid w:val="0012053E"/>
    <w:rsid w:val="00136CC7"/>
    <w:rsid w:val="00140B79"/>
    <w:rsid w:val="001A1780"/>
    <w:rsid w:val="001B50A4"/>
    <w:rsid w:val="001C4487"/>
    <w:rsid w:val="001E097A"/>
    <w:rsid w:val="00204B6D"/>
    <w:rsid w:val="002134BA"/>
    <w:rsid w:val="002155A8"/>
    <w:rsid w:val="00246893"/>
    <w:rsid w:val="002575B0"/>
    <w:rsid w:val="002621D5"/>
    <w:rsid w:val="00266478"/>
    <w:rsid w:val="00282631"/>
    <w:rsid w:val="00285CC4"/>
    <w:rsid w:val="002A0BDB"/>
    <w:rsid w:val="002A5AC4"/>
    <w:rsid w:val="003122CF"/>
    <w:rsid w:val="003375F2"/>
    <w:rsid w:val="00340986"/>
    <w:rsid w:val="00360BD0"/>
    <w:rsid w:val="00362CE7"/>
    <w:rsid w:val="00366CEA"/>
    <w:rsid w:val="00380959"/>
    <w:rsid w:val="00382668"/>
    <w:rsid w:val="003B4F43"/>
    <w:rsid w:val="003C6F01"/>
    <w:rsid w:val="003F2FA9"/>
    <w:rsid w:val="0041525F"/>
    <w:rsid w:val="00424D2D"/>
    <w:rsid w:val="0044324F"/>
    <w:rsid w:val="004463F0"/>
    <w:rsid w:val="00463D30"/>
    <w:rsid w:val="004733BE"/>
    <w:rsid w:val="004B161C"/>
    <w:rsid w:val="004B19C1"/>
    <w:rsid w:val="004B41AF"/>
    <w:rsid w:val="004C7DE9"/>
    <w:rsid w:val="004E24CA"/>
    <w:rsid w:val="00513339"/>
    <w:rsid w:val="0051714E"/>
    <w:rsid w:val="00530CA6"/>
    <w:rsid w:val="00591B75"/>
    <w:rsid w:val="005C0707"/>
    <w:rsid w:val="005C3540"/>
    <w:rsid w:val="005D12C5"/>
    <w:rsid w:val="005D1B93"/>
    <w:rsid w:val="005D241F"/>
    <w:rsid w:val="00620B6D"/>
    <w:rsid w:val="0062242E"/>
    <w:rsid w:val="00650B3D"/>
    <w:rsid w:val="00661015"/>
    <w:rsid w:val="00663E01"/>
    <w:rsid w:val="006718DA"/>
    <w:rsid w:val="006751EC"/>
    <w:rsid w:val="00690986"/>
    <w:rsid w:val="006C5AA4"/>
    <w:rsid w:val="006D1B99"/>
    <w:rsid w:val="006D4567"/>
    <w:rsid w:val="006E1C7A"/>
    <w:rsid w:val="006F6AED"/>
    <w:rsid w:val="0073161B"/>
    <w:rsid w:val="00734DA7"/>
    <w:rsid w:val="007521EC"/>
    <w:rsid w:val="00773C44"/>
    <w:rsid w:val="007A0A76"/>
    <w:rsid w:val="007A4A2F"/>
    <w:rsid w:val="007B52FC"/>
    <w:rsid w:val="007B655D"/>
    <w:rsid w:val="007C06A3"/>
    <w:rsid w:val="007D12A1"/>
    <w:rsid w:val="007E2C85"/>
    <w:rsid w:val="007F135C"/>
    <w:rsid w:val="00804A14"/>
    <w:rsid w:val="008117D5"/>
    <w:rsid w:val="00815AE2"/>
    <w:rsid w:val="0082533E"/>
    <w:rsid w:val="00837B19"/>
    <w:rsid w:val="00857C2D"/>
    <w:rsid w:val="00893DF9"/>
    <w:rsid w:val="008A1B8B"/>
    <w:rsid w:val="008C29F4"/>
    <w:rsid w:val="008E7A9B"/>
    <w:rsid w:val="008F200B"/>
    <w:rsid w:val="00925113"/>
    <w:rsid w:val="0094088D"/>
    <w:rsid w:val="00953FA1"/>
    <w:rsid w:val="00974E81"/>
    <w:rsid w:val="00975A5B"/>
    <w:rsid w:val="00977F7F"/>
    <w:rsid w:val="009A24C7"/>
    <w:rsid w:val="009B275A"/>
    <w:rsid w:val="009C5071"/>
    <w:rsid w:val="009E49FA"/>
    <w:rsid w:val="009E5A06"/>
    <w:rsid w:val="009F13F8"/>
    <w:rsid w:val="00A04365"/>
    <w:rsid w:val="00A06439"/>
    <w:rsid w:val="00A10187"/>
    <w:rsid w:val="00A116DD"/>
    <w:rsid w:val="00A36D27"/>
    <w:rsid w:val="00A61D52"/>
    <w:rsid w:val="00A73655"/>
    <w:rsid w:val="00A863F7"/>
    <w:rsid w:val="00A96721"/>
    <w:rsid w:val="00A9781E"/>
    <w:rsid w:val="00AA4704"/>
    <w:rsid w:val="00AA69B5"/>
    <w:rsid w:val="00AB056D"/>
    <w:rsid w:val="00AB095C"/>
    <w:rsid w:val="00AB4AC3"/>
    <w:rsid w:val="00AB6595"/>
    <w:rsid w:val="00AB7EE1"/>
    <w:rsid w:val="00AF31B4"/>
    <w:rsid w:val="00B134B1"/>
    <w:rsid w:val="00B14C7D"/>
    <w:rsid w:val="00B24951"/>
    <w:rsid w:val="00B27886"/>
    <w:rsid w:val="00B5143F"/>
    <w:rsid w:val="00B5432A"/>
    <w:rsid w:val="00B57416"/>
    <w:rsid w:val="00B635D8"/>
    <w:rsid w:val="00B9040D"/>
    <w:rsid w:val="00BA28DA"/>
    <w:rsid w:val="00BB5268"/>
    <w:rsid w:val="00BC5B05"/>
    <w:rsid w:val="00BE038C"/>
    <w:rsid w:val="00BE73D2"/>
    <w:rsid w:val="00C205D5"/>
    <w:rsid w:val="00C461F4"/>
    <w:rsid w:val="00C74FD8"/>
    <w:rsid w:val="00C938FD"/>
    <w:rsid w:val="00CA1004"/>
    <w:rsid w:val="00CA4C6C"/>
    <w:rsid w:val="00CC11DB"/>
    <w:rsid w:val="00CD1BB7"/>
    <w:rsid w:val="00CF154A"/>
    <w:rsid w:val="00D00409"/>
    <w:rsid w:val="00D1425E"/>
    <w:rsid w:val="00D204CD"/>
    <w:rsid w:val="00D22F98"/>
    <w:rsid w:val="00D4506B"/>
    <w:rsid w:val="00D465C6"/>
    <w:rsid w:val="00D77620"/>
    <w:rsid w:val="00D91D43"/>
    <w:rsid w:val="00DA422F"/>
    <w:rsid w:val="00DA7844"/>
    <w:rsid w:val="00DB2DCF"/>
    <w:rsid w:val="00DB5279"/>
    <w:rsid w:val="00DB6787"/>
    <w:rsid w:val="00DC3F55"/>
    <w:rsid w:val="00DC6FD8"/>
    <w:rsid w:val="00DD1BD0"/>
    <w:rsid w:val="00DD258C"/>
    <w:rsid w:val="00DF3CBB"/>
    <w:rsid w:val="00E3203F"/>
    <w:rsid w:val="00E357AD"/>
    <w:rsid w:val="00E53797"/>
    <w:rsid w:val="00E73885"/>
    <w:rsid w:val="00E95043"/>
    <w:rsid w:val="00EA62B1"/>
    <w:rsid w:val="00EB1DC6"/>
    <w:rsid w:val="00EB45C8"/>
    <w:rsid w:val="00EB7D6D"/>
    <w:rsid w:val="00EC7A94"/>
    <w:rsid w:val="00ED7928"/>
    <w:rsid w:val="00EF00CC"/>
    <w:rsid w:val="00F02D9E"/>
    <w:rsid w:val="00F04F8C"/>
    <w:rsid w:val="00F11767"/>
    <w:rsid w:val="00F26074"/>
    <w:rsid w:val="00F34886"/>
    <w:rsid w:val="00F42656"/>
    <w:rsid w:val="00F531F7"/>
    <w:rsid w:val="00F558F0"/>
    <w:rsid w:val="00F6296A"/>
    <w:rsid w:val="00F65798"/>
    <w:rsid w:val="00F76A20"/>
    <w:rsid w:val="00F931C2"/>
    <w:rsid w:val="00F959C1"/>
    <w:rsid w:val="00FB584C"/>
    <w:rsid w:val="00FC3627"/>
    <w:rsid w:val="00FC553C"/>
    <w:rsid w:val="00FC58B9"/>
    <w:rsid w:val="00FD1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04"/>
    <w:rPr>
      <w:sz w:val="20"/>
      <w:szCs w:val="20"/>
    </w:rPr>
  </w:style>
  <w:style w:type="paragraph" w:styleId="Nagwek1">
    <w:name w:val="heading 1"/>
    <w:basedOn w:val="Normalny"/>
    <w:next w:val="Normalny"/>
    <w:link w:val="Nagwek1Znak"/>
    <w:uiPriority w:val="9"/>
    <w:qFormat/>
    <w:rsid w:val="00AA470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AA470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AA470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AA470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AA4704"/>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AA4704"/>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AA4704"/>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AA4704"/>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A4704"/>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20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203F"/>
    <w:rPr>
      <w:rFonts w:ascii="Tahoma" w:hAnsi="Tahoma" w:cs="Tahoma"/>
      <w:sz w:val="16"/>
      <w:szCs w:val="16"/>
    </w:rPr>
  </w:style>
  <w:style w:type="paragraph" w:styleId="Nagwek">
    <w:name w:val="header"/>
    <w:basedOn w:val="Normalny"/>
    <w:link w:val="NagwekZnak"/>
    <w:uiPriority w:val="99"/>
    <w:unhideWhenUsed/>
    <w:rsid w:val="001B50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50A4"/>
  </w:style>
  <w:style w:type="paragraph" w:styleId="Stopka">
    <w:name w:val="footer"/>
    <w:basedOn w:val="Normalny"/>
    <w:link w:val="StopkaZnak"/>
    <w:uiPriority w:val="99"/>
    <w:unhideWhenUsed/>
    <w:rsid w:val="001B50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50A4"/>
  </w:style>
  <w:style w:type="paragraph" w:styleId="Tekstpodstawowy">
    <w:name w:val="Body Text"/>
    <w:basedOn w:val="Normalny"/>
    <w:link w:val="TekstpodstawowyZnak"/>
    <w:uiPriority w:val="99"/>
    <w:semiHidden/>
    <w:unhideWhenUsed/>
    <w:rsid w:val="001B50A4"/>
    <w:pPr>
      <w:spacing w:after="120"/>
    </w:pPr>
    <w:rPr>
      <w:sz w:val="24"/>
      <w:lang w:val="en-US" w:bidi="en-US"/>
    </w:rPr>
  </w:style>
  <w:style w:type="character" w:customStyle="1" w:styleId="TekstpodstawowyZnak">
    <w:name w:val="Tekst podstawowy Znak"/>
    <w:basedOn w:val="Domylnaczcionkaakapitu"/>
    <w:link w:val="Tekstpodstawowy"/>
    <w:uiPriority w:val="99"/>
    <w:semiHidden/>
    <w:rsid w:val="001B50A4"/>
    <w:rPr>
      <w:rFonts w:eastAsiaTheme="minorEastAsia"/>
      <w:sz w:val="24"/>
      <w:szCs w:val="20"/>
      <w:lang w:val="en-US" w:bidi="en-US"/>
    </w:rPr>
  </w:style>
  <w:style w:type="character" w:customStyle="1" w:styleId="Nagwek1Znak">
    <w:name w:val="Nagłówek 1 Znak"/>
    <w:basedOn w:val="Domylnaczcionkaakapitu"/>
    <w:link w:val="Nagwek1"/>
    <w:uiPriority w:val="9"/>
    <w:rsid w:val="00AA4704"/>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AA4704"/>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AA4704"/>
    <w:rPr>
      <w:caps/>
      <w:color w:val="243F60" w:themeColor="accent1" w:themeShade="7F"/>
      <w:spacing w:val="15"/>
    </w:rPr>
  </w:style>
  <w:style w:type="character" w:customStyle="1" w:styleId="Nagwek4Znak">
    <w:name w:val="Nagłówek 4 Znak"/>
    <w:basedOn w:val="Domylnaczcionkaakapitu"/>
    <w:link w:val="Nagwek4"/>
    <w:uiPriority w:val="9"/>
    <w:semiHidden/>
    <w:rsid w:val="00AA4704"/>
    <w:rPr>
      <w:caps/>
      <w:color w:val="365F91" w:themeColor="accent1" w:themeShade="BF"/>
      <w:spacing w:val="10"/>
    </w:rPr>
  </w:style>
  <w:style w:type="character" w:customStyle="1" w:styleId="Nagwek5Znak">
    <w:name w:val="Nagłówek 5 Znak"/>
    <w:basedOn w:val="Domylnaczcionkaakapitu"/>
    <w:link w:val="Nagwek5"/>
    <w:uiPriority w:val="9"/>
    <w:semiHidden/>
    <w:rsid w:val="00AA4704"/>
    <w:rPr>
      <w:caps/>
      <w:color w:val="365F91" w:themeColor="accent1" w:themeShade="BF"/>
      <w:spacing w:val="10"/>
    </w:rPr>
  </w:style>
  <w:style w:type="character" w:customStyle="1" w:styleId="Nagwek6Znak">
    <w:name w:val="Nagłówek 6 Znak"/>
    <w:basedOn w:val="Domylnaczcionkaakapitu"/>
    <w:link w:val="Nagwek6"/>
    <w:uiPriority w:val="9"/>
    <w:semiHidden/>
    <w:rsid w:val="00AA4704"/>
    <w:rPr>
      <w:caps/>
      <w:color w:val="365F91" w:themeColor="accent1" w:themeShade="BF"/>
      <w:spacing w:val="10"/>
    </w:rPr>
  </w:style>
  <w:style w:type="character" w:customStyle="1" w:styleId="Nagwek7Znak">
    <w:name w:val="Nagłówek 7 Znak"/>
    <w:basedOn w:val="Domylnaczcionkaakapitu"/>
    <w:link w:val="Nagwek7"/>
    <w:uiPriority w:val="9"/>
    <w:semiHidden/>
    <w:rsid w:val="00AA4704"/>
    <w:rPr>
      <w:caps/>
      <w:color w:val="365F91" w:themeColor="accent1" w:themeShade="BF"/>
      <w:spacing w:val="10"/>
    </w:rPr>
  </w:style>
  <w:style w:type="character" w:customStyle="1" w:styleId="Nagwek8Znak">
    <w:name w:val="Nagłówek 8 Znak"/>
    <w:basedOn w:val="Domylnaczcionkaakapitu"/>
    <w:link w:val="Nagwek8"/>
    <w:uiPriority w:val="9"/>
    <w:semiHidden/>
    <w:rsid w:val="00AA4704"/>
    <w:rPr>
      <w:caps/>
      <w:spacing w:val="10"/>
      <w:sz w:val="18"/>
      <w:szCs w:val="18"/>
    </w:rPr>
  </w:style>
  <w:style w:type="character" w:customStyle="1" w:styleId="Nagwek9Znak">
    <w:name w:val="Nagłówek 9 Znak"/>
    <w:basedOn w:val="Domylnaczcionkaakapitu"/>
    <w:link w:val="Nagwek9"/>
    <w:uiPriority w:val="9"/>
    <w:semiHidden/>
    <w:rsid w:val="00AA4704"/>
    <w:rPr>
      <w:i/>
      <w:caps/>
      <w:spacing w:val="10"/>
      <w:sz w:val="18"/>
      <w:szCs w:val="18"/>
    </w:rPr>
  </w:style>
  <w:style w:type="paragraph" w:styleId="Legenda">
    <w:name w:val="caption"/>
    <w:basedOn w:val="Normalny"/>
    <w:next w:val="Normalny"/>
    <w:uiPriority w:val="35"/>
    <w:semiHidden/>
    <w:unhideWhenUsed/>
    <w:qFormat/>
    <w:rsid w:val="00AA4704"/>
    <w:rPr>
      <w:b/>
      <w:bCs/>
      <w:color w:val="365F91" w:themeColor="accent1" w:themeShade="BF"/>
      <w:sz w:val="16"/>
      <w:szCs w:val="16"/>
    </w:rPr>
  </w:style>
  <w:style w:type="paragraph" w:styleId="Tytu">
    <w:name w:val="Title"/>
    <w:basedOn w:val="Normalny"/>
    <w:next w:val="Normalny"/>
    <w:link w:val="TytuZnak"/>
    <w:uiPriority w:val="10"/>
    <w:qFormat/>
    <w:rsid w:val="00AA4704"/>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AA4704"/>
    <w:rPr>
      <w:caps/>
      <w:color w:val="4F81BD" w:themeColor="accent1"/>
      <w:spacing w:val="10"/>
      <w:kern w:val="28"/>
      <w:sz w:val="52"/>
      <w:szCs w:val="52"/>
    </w:rPr>
  </w:style>
  <w:style w:type="paragraph" w:styleId="Podtytu">
    <w:name w:val="Subtitle"/>
    <w:basedOn w:val="Normalny"/>
    <w:next w:val="Normalny"/>
    <w:link w:val="PodtytuZnak"/>
    <w:uiPriority w:val="11"/>
    <w:qFormat/>
    <w:rsid w:val="00AA4704"/>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AA4704"/>
    <w:rPr>
      <w:caps/>
      <w:color w:val="595959" w:themeColor="text1" w:themeTint="A6"/>
      <w:spacing w:val="10"/>
      <w:sz w:val="24"/>
      <w:szCs w:val="24"/>
    </w:rPr>
  </w:style>
  <w:style w:type="character" w:styleId="Pogrubienie">
    <w:name w:val="Strong"/>
    <w:uiPriority w:val="22"/>
    <w:qFormat/>
    <w:rsid w:val="00AA4704"/>
    <w:rPr>
      <w:b/>
      <w:bCs/>
    </w:rPr>
  </w:style>
  <w:style w:type="character" w:styleId="Uwydatnienie">
    <w:name w:val="Emphasis"/>
    <w:uiPriority w:val="20"/>
    <w:qFormat/>
    <w:rsid w:val="00AA4704"/>
    <w:rPr>
      <w:caps/>
      <w:color w:val="243F60" w:themeColor="accent1" w:themeShade="7F"/>
      <w:spacing w:val="5"/>
    </w:rPr>
  </w:style>
  <w:style w:type="paragraph" w:styleId="Bezodstpw">
    <w:name w:val="No Spacing"/>
    <w:basedOn w:val="Normalny"/>
    <w:link w:val="BezodstpwZnak"/>
    <w:uiPriority w:val="1"/>
    <w:qFormat/>
    <w:rsid w:val="00AA4704"/>
    <w:pPr>
      <w:spacing w:before="0" w:after="0" w:line="240" w:lineRule="auto"/>
    </w:pPr>
  </w:style>
  <w:style w:type="paragraph" w:styleId="Akapitzlist">
    <w:name w:val="List Paragraph"/>
    <w:basedOn w:val="Normalny"/>
    <w:uiPriority w:val="34"/>
    <w:qFormat/>
    <w:rsid w:val="00AA4704"/>
    <w:pPr>
      <w:ind w:left="720"/>
      <w:contextualSpacing/>
    </w:pPr>
  </w:style>
  <w:style w:type="paragraph" w:styleId="Cytat">
    <w:name w:val="Quote"/>
    <w:basedOn w:val="Normalny"/>
    <w:next w:val="Normalny"/>
    <w:link w:val="CytatZnak"/>
    <w:uiPriority w:val="29"/>
    <w:qFormat/>
    <w:rsid w:val="00AA4704"/>
    <w:rPr>
      <w:i/>
      <w:iCs/>
    </w:rPr>
  </w:style>
  <w:style w:type="character" w:customStyle="1" w:styleId="CytatZnak">
    <w:name w:val="Cytat Znak"/>
    <w:basedOn w:val="Domylnaczcionkaakapitu"/>
    <w:link w:val="Cytat"/>
    <w:uiPriority w:val="29"/>
    <w:rsid w:val="00AA4704"/>
    <w:rPr>
      <w:i/>
      <w:iCs/>
      <w:sz w:val="20"/>
      <w:szCs w:val="20"/>
    </w:rPr>
  </w:style>
  <w:style w:type="paragraph" w:styleId="Cytatintensywny">
    <w:name w:val="Intense Quote"/>
    <w:basedOn w:val="Normalny"/>
    <w:next w:val="Normalny"/>
    <w:link w:val="CytatintensywnyZnak"/>
    <w:uiPriority w:val="30"/>
    <w:qFormat/>
    <w:rsid w:val="00AA470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AA4704"/>
    <w:rPr>
      <w:i/>
      <w:iCs/>
      <w:color w:val="4F81BD" w:themeColor="accent1"/>
      <w:sz w:val="20"/>
      <w:szCs w:val="20"/>
    </w:rPr>
  </w:style>
  <w:style w:type="character" w:styleId="Wyrnieniedelikatne">
    <w:name w:val="Subtle Emphasis"/>
    <w:uiPriority w:val="19"/>
    <w:qFormat/>
    <w:rsid w:val="00AA4704"/>
    <w:rPr>
      <w:i/>
      <w:iCs/>
      <w:color w:val="243F60" w:themeColor="accent1" w:themeShade="7F"/>
    </w:rPr>
  </w:style>
  <w:style w:type="character" w:styleId="Wyrnienieintensywne">
    <w:name w:val="Intense Emphasis"/>
    <w:uiPriority w:val="21"/>
    <w:qFormat/>
    <w:rsid w:val="00AA4704"/>
    <w:rPr>
      <w:b/>
      <w:bCs/>
      <w:caps/>
      <w:color w:val="243F60" w:themeColor="accent1" w:themeShade="7F"/>
      <w:spacing w:val="10"/>
    </w:rPr>
  </w:style>
  <w:style w:type="character" w:styleId="Odwoaniedelikatne">
    <w:name w:val="Subtle Reference"/>
    <w:uiPriority w:val="31"/>
    <w:qFormat/>
    <w:rsid w:val="00AA4704"/>
    <w:rPr>
      <w:b/>
      <w:bCs/>
      <w:color w:val="4F81BD" w:themeColor="accent1"/>
    </w:rPr>
  </w:style>
  <w:style w:type="character" w:styleId="Odwoanieintensywne">
    <w:name w:val="Intense Reference"/>
    <w:uiPriority w:val="32"/>
    <w:qFormat/>
    <w:rsid w:val="00AA4704"/>
    <w:rPr>
      <w:b/>
      <w:bCs/>
      <w:i/>
      <w:iCs/>
      <w:caps/>
      <w:color w:val="4F81BD" w:themeColor="accent1"/>
    </w:rPr>
  </w:style>
  <w:style w:type="character" w:styleId="Tytuksiki">
    <w:name w:val="Book Title"/>
    <w:uiPriority w:val="33"/>
    <w:qFormat/>
    <w:rsid w:val="00AA4704"/>
    <w:rPr>
      <w:b/>
      <w:bCs/>
      <w:i/>
      <w:iCs/>
      <w:spacing w:val="9"/>
    </w:rPr>
  </w:style>
  <w:style w:type="paragraph" w:styleId="Nagwekspisutreci">
    <w:name w:val="TOC Heading"/>
    <w:basedOn w:val="Nagwek1"/>
    <w:next w:val="Normalny"/>
    <w:uiPriority w:val="39"/>
    <w:semiHidden/>
    <w:unhideWhenUsed/>
    <w:qFormat/>
    <w:rsid w:val="00AA4704"/>
    <w:pPr>
      <w:outlineLvl w:val="9"/>
    </w:pPr>
    <w:rPr>
      <w:lang w:bidi="en-US"/>
    </w:rPr>
  </w:style>
  <w:style w:type="character" w:customStyle="1" w:styleId="BezodstpwZnak">
    <w:name w:val="Bez odstępów Znak"/>
    <w:basedOn w:val="Domylnaczcionkaakapitu"/>
    <w:link w:val="Bezodstpw"/>
    <w:uiPriority w:val="1"/>
    <w:rsid w:val="00AA4704"/>
    <w:rPr>
      <w:sz w:val="20"/>
      <w:szCs w:val="20"/>
    </w:rPr>
  </w:style>
  <w:style w:type="paragraph" w:styleId="Spistreci1">
    <w:name w:val="toc 1"/>
    <w:basedOn w:val="Normalny"/>
    <w:next w:val="Normalny"/>
    <w:autoRedefine/>
    <w:uiPriority w:val="39"/>
    <w:unhideWhenUsed/>
    <w:rsid w:val="007F135C"/>
    <w:pPr>
      <w:spacing w:after="100"/>
    </w:pPr>
  </w:style>
  <w:style w:type="character" w:styleId="Hipercze">
    <w:name w:val="Hyperlink"/>
    <w:basedOn w:val="Domylnaczcionkaakapitu"/>
    <w:uiPriority w:val="99"/>
    <w:unhideWhenUsed/>
    <w:rsid w:val="007F135C"/>
    <w:rPr>
      <w:color w:val="0000FF" w:themeColor="hyperlink"/>
      <w:u w:val="single"/>
    </w:rPr>
  </w:style>
  <w:style w:type="paragraph" w:styleId="Spistreci2">
    <w:name w:val="toc 2"/>
    <w:basedOn w:val="Normalny"/>
    <w:next w:val="Normalny"/>
    <w:autoRedefine/>
    <w:uiPriority w:val="39"/>
    <w:unhideWhenUsed/>
    <w:rsid w:val="00246893"/>
    <w:pPr>
      <w:spacing w:after="100"/>
      <w:ind w:left="200"/>
    </w:pPr>
  </w:style>
  <w:style w:type="table" w:styleId="Tabela-Siatka">
    <w:name w:val="Table Grid"/>
    <w:basedOn w:val="Standardowy"/>
    <w:uiPriority w:val="59"/>
    <w:rsid w:val="00037CB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alistaakcent1">
    <w:name w:val="Light List Accent 1"/>
    <w:basedOn w:val="Standardowy"/>
    <w:uiPriority w:val="61"/>
    <w:rsid w:val="00037CB8"/>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04"/>
    <w:rPr>
      <w:sz w:val="20"/>
      <w:szCs w:val="20"/>
    </w:rPr>
  </w:style>
  <w:style w:type="paragraph" w:styleId="Nagwek1">
    <w:name w:val="heading 1"/>
    <w:basedOn w:val="Normalny"/>
    <w:next w:val="Normalny"/>
    <w:link w:val="Nagwek1Znak"/>
    <w:uiPriority w:val="9"/>
    <w:qFormat/>
    <w:rsid w:val="00AA470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AA470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AA470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AA470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AA4704"/>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AA4704"/>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AA4704"/>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AA4704"/>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A4704"/>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20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203F"/>
    <w:rPr>
      <w:rFonts w:ascii="Tahoma" w:hAnsi="Tahoma" w:cs="Tahoma"/>
      <w:sz w:val="16"/>
      <w:szCs w:val="16"/>
    </w:rPr>
  </w:style>
  <w:style w:type="paragraph" w:styleId="Nagwek">
    <w:name w:val="header"/>
    <w:basedOn w:val="Normalny"/>
    <w:link w:val="NagwekZnak"/>
    <w:uiPriority w:val="99"/>
    <w:unhideWhenUsed/>
    <w:rsid w:val="001B50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50A4"/>
  </w:style>
  <w:style w:type="paragraph" w:styleId="Stopka">
    <w:name w:val="footer"/>
    <w:basedOn w:val="Normalny"/>
    <w:link w:val="StopkaZnak"/>
    <w:uiPriority w:val="99"/>
    <w:unhideWhenUsed/>
    <w:rsid w:val="001B50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50A4"/>
  </w:style>
  <w:style w:type="paragraph" w:styleId="Tekstpodstawowy">
    <w:name w:val="Body Text"/>
    <w:basedOn w:val="Normalny"/>
    <w:link w:val="TekstpodstawowyZnak"/>
    <w:uiPriority w:val="99"/>
    <w:semiHidden/>
    <w:unhideWhenUsed/>
    <w:rsid w:val="001B50A4"/>
    <w:pPr>
      <w:spacing w:after="120"/>
    </w:pPr>
    <w:rPr>
      <w:sz w:val="24"/>
      <w:lang w:val="en-US" w:bidi="en-US"/>
    </w:rPr>
  </w:style>
  <w:style w:type="character" w:customStyle="1" w:styleId="TekstpodstawowyZnak">
    <w:name w:val="Tekst podstawowy Znak"/>
    <w:basedOn w:val="Domylnaczcionkaakapitu"/>
    <w:link w:val="Tekstpodstawowy"/>
    <w:uiPriority w:val="99"/>
    <w:semiHidden/>
    <w:rsid w:val="001B50A4"/>
    <w:rPr>
      <w:rFonts w:eastAsiaTheme="minorEastAsia"/>
      <w:sz w:val="24"/>
      <w:szCs w:val="20"/>
      <w:lang w:val="en-US" w:bidi="en-US"/>
    </w:rPr>
  </w:style>
  <w:style w:type="character" w:customStyle="1" w:styleId="Nagwek1Znak">
    <w:name w:val="Nagłówek 1 Znak"/>
    <w:basedOn w:val="Domylnaczcionkaakapitu"/>
    <w:link w:val="Nagwek1"/>
    <w:uiPriority w:val="9"/>
    <w:rsid w:val="00AA4704"/>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AA4704"/>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AA4704"/>
    <w:rPr>
      <w:caps/>
      <w:color w:val="243F60" w:themeColor="accent1" w:themeShade="7F"/>
      <w:spacing w:val="15"/>
    </w:rPr>
  </w:style>
  <w:style w:type="character" w:customStyle="1" w:styleId="Nagwek4Znak">
    <w:name w:val="Nagłówek 4 Znak"/>
    <w:basedOn w:val="Domylnaczcionkaakapitu"/>
    <w:link w:val="Nagwek4"/>
    <w:uiPriority w:val="9"/>
    <w:semiHidden/>
    <w:rsid w:val="00AA4704"/>
    <w:rPr>
      <w:caps/>
      <w:color w:val="365F91" w:themeColor="accent1" w:themeShade="BF"/>
      <w:spacing w:val="10"/>
    </w:rPr>
  </w:style>
  <w:style w:type="character" w:customStyle="1" w:styleId="Nagwek5Znak">
    <w:name w:val="Nagłówek 5 Znak"/>
    <w:basedOn w:val="Domylnaczcionkaakapitu"/>
    <w:link w:val="Nagwek5"/>
    <w:uiPriority w:val="9"/>
    <w:semiHidden/>
    <w:rsid w:val="00AA4704"/>
    <w:rPr>
      <w:caps/>
      <w:color w:val="365F91" w:themeColor="accent1" w:themeShade="BF"/>
      <w:spacing w:val="10"/>
    </w:rPr>
  </w:style>
  <w:style w:type="character" w:customStyle="1" w:styleId="Nagwek6Znak">
    <w:name w:val="Nagłówek 6 Znak"/>
    <w:basedOn w:val="Domylnaczcionkaakapitu"/>
    <w:link w:val="Nagwek6"/>
    <w:uiPriority w:val="9"/>
    <w:semiHidden/>
    <w:rsid w:val="00AA4704"/>
    <w:rPr>
      <w:caps/>
      <w:color w:val="365F91" w:themeColor="accent1" w:themeShade="BF"/>
      <w:spacing w:val="10"/>
    </w:rPr>
  </w:style>
  <w:style w:type="character" w:customStyle="1" w:styleId="Nagwek7Znak">
    <w:name w:val="Nagłówek 7 Znak"/>
    <w:basedOn w:val="Domylnaczcionkaakapitu"/>
    <w:link w:val="Nagwek7"/>
    <w:uiPriority w:val="9"/>
    <w:semiHidden/>
    <w:rsid w:val="00AA4704"/>
    <w:rPr>
      <w:caps/>
      <w:color w:val="365F91" w:themeColor="accent1" w:themeShade="BF"/>
      <w:spacing w:val="10"/>
    </w:rPr>
  </w:style>
  <w:style w:type="character" w:customStyle="1" w:styleId="Nagwek8Znak">
    <w:name w:val="Nagłówek 8 Znak"/>
    <w:basedOn w:val="Domylnaczcionkaakapitu"/>
    <w:link w:val="Nagwek8"/>
    <w:uiPriority w:val="9"/>
    <w:semiHidden/>
    <w:rsid w:val="00AA4704"/>
    <w:rPr>
      <w:caps/>
      <w:spacing w:val="10"/>
      <w:sz w:val="18"/>
      <w:szCs w:val="18"/>
    </w:rPr>
  </w:style>
  <w:style w:type="character" w:customStyle="1" w:styleId="Nagwek9Znak">
    <w:name w:val="Nagłówek 9 Znak"/>
    <w:basedOn w:val="Domylnaczcionkaakapitu"/>
    <w:link w:val="Nagwek9"/>
    <w:uiPriority w:val="9"/>
    <w:semiHidden/>
    <w:rsid w:val="00AA4704"/>
    <w:rPr>
      <w:i/>
      <w:caps/>
      <w:spacing w:val="10"/>
      <w:sz w:val="18"/>
      <w:szCs w:val="18"/>
    </w:rPr>
  </w:style>
  <w:style w:type="paragraph" w:styleId="Legenda">
    <w:name w:val="caption"/>
    <w:basedOn w:val="Normalny"/>
    <w:next w:val="Normalny"/>
    <w:uiPriority w:val="35"/>
    <w:semiHidden/>
    <w:unhideWhenUsed/>
    <w:qFormat/>
    <w:rsid w:val="00AA4704"/>
    <w:rPr>
      <w:b/>
      <w:bCs/>
      <w:color w:val="365F91" w:themeColor="accent1" w:themeShade="BF"/>
      <w:sz w:val="16"/>
      <w:szCs w:val="16"/>
    </w:rPr>
  </w:style>
  <w:style w:type="paragraph" w:styleId="Tytu">
    <w:name w:val="Title"/>
    <w:basedOn w:val="Normalny"/>
    <w:next w:val="Normalny"/>
    <w:link w:val="TytuZnak"/>
    <w:uiPriority w:val="10"/>
    <w:qFormat/>
    <w:rsid w:val="00AA4704"/>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AA4704"/>
    <w:rPr>
      <w:caps/>
      <w:color w:val="4F81BD" w:themeColor="accent1"/>
      <w:spacing w:val="10"/>
      <w:kern w:val="28"/>
      <w:sz w:val="52"/>
      <w:szCs w:val="52"/>
    </w:rPr>
  </w:style>
  <w:style w:type="paragraph" w:styleId="Podtytu">
    <w:name w:val="Subtitle"/>
    <w:basedOn w:val="Normalny"/>
    <w:next w:val="Normalny"/>
    <w:link w:val="PodtytuZnak"/>
    <w:uiPriority w:val="11"/>
    <w:qFormat/>
    <w:rsid w:val="00AA4704"/>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AA4704"/>
    <w:rPr>
      <w:caps/>
      <w:color w:val="595959" w:themeColor="text1" w:themeTint="A6"/>
      <w:spacing w:val="10"/>
      <w:sz w:val="24"/>
      <w:szCs w:val="24"/>
    </w:rPr>
  </w:style>
  <w:style w:type="character" w:styleId="Pogrubienie">
    <w:name w:val="Strong"/>
    <w:uiPriority w:val="22"/>
    <w:qFormat/>
    <w:rsid w:val="00AA4704"/>
    <w:rPr>
      <w:b/>
      <w:bCs/>
    </w:rPr>
  </w:style>
  <w:style w:type="character" w:styleId="Uwydatnienie">
    <w:name w:val="Emphasis"/>
    <w:uiPriority w:val="20"/>
    <w:qFormat/>
    <w:rsid w:val="00AA4704"/>
    <w:rPr>
      <w:caps/>
      <w:color w:val="243F60" w:themeColor="accent1" w:themeShade="7F"/>
      <w:spacing w:val="5"/>
    </w:rPr>
  </w:style>
  <w:style w:type="paragraph" w:styleId="Bezodstpw">
    <w:name w:val="No Spacing"/>
    <w:basedOn w:val="Normalny"/>
    <w:link w:val="BezodstpwZnak"/>
    <w:uiPriority w:val="1"/>
    <w:qFormat/>
    <w:rsid w:val="00AA4704"/>
    <w:pPr>
      <w:spacing w:before="0" w:after="0" w:line="240" w:lineRule="auto"/>
    </w:pPr>
  </w:style>
  <w:style w:type="paragraph" w:styleId="Akapitzlist">
    <w:name w:val="List Paragraph"/>
    <w:basedOn w:val="Normalny"/>
    <w:uiPriority w:val="34"/>
    <w:qFormat/>
    <w:rsid w:val="00AA4704"/>
    <w:pPr>
      <w:ind w:left="720"/>
      <w:contextualSpacing/>
    </w:pPr>
  </w:style>
  <w:style w:type="paragraph" w:styleId="Cytat">
    <w:name w:val="Quote"/>
    <w:basedOn w:val="Normalny"/>
    <w:next w:val="Normalny"/>
    <w:link w:val="CytatZnak"/>
    <w:uiPriority w:val="29"/>
    <w:qFormat/>
    <w:rsid w:val="00AA4704"/>
    <w:rPr>
      <w:i/>
      <w:iCs/>
    </w:rPr>
  </w:style>
  <w:style w:type="character" w:customStyle="1" w:styleId="CytatZnak">
    <w:name w:val="Cytat Znak"/>
    <w:basedOn w:val="Domylnaczcionkaakapitu"/>
    <w:link w:val="Cytat"/>
    <w:uiPriority w:val="29"/>
    <w:rsid w:val="00AA4704"/>
    <w:rPr>
      <w:i/>
      <w:iCs/>
      <w:sz w:val="20"/>
      <w:szCs w:val="20"/>
    </w:rPr>
  </w:style>
  <w:style w:type="paragraph" w:styleId="Cytatintensywny">
    <w:name w:val="Intense Quote"/>
    <w:basedOn w:val="Normalny"/>
    <w:next w:val="Normalny"/>
    <w:link w:val="CytatintensywnyZnak"/>
    <w:uiPriority w:val="30"/>
    <w:qFormat/>
    <w:rsid w:val="00AA470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AA4704"/>
    <w:rPr>
      <w:i/>
      <w:iCs/>
      <w:color w:val="4F81BD" w:themeColor="accent1"/>
      <w:sz w:val="20"/>
      <w:szCs w:val="20"/>
    </w:rPr>
  </w:style>
  <w:style w:type="character" w:styleId="Wyrnieniedelikatne">
    <w:name w:val="Subtle Emphasis"/>
    <w:uiPriority w:val="19"/>
    <w:qFormat/>
    <w:rsid w:val="00AA4704"/>
    <w:rPr>
      <w:i/>
      <w:iCs/>
      <w:color w:val="243F60" w:themeColor="accent1" w:themeShade="7F"/>
    </w:rPr>
  </w:style>
  <w:style w:type="character" w:styleId="Wyrnienieintensywne">
    <w:name w:val="Intense Emphasis"/>
    <w:uiPriority w:val="21"/>
    <w:qFormat/>
    <w:rsid w:val="00AA4704"/>
    <w:rPr>
      <w:b/>
      <w:bCs/>
      <w:caps/>
      <w:color w:val="243F60" w:themeColor="accent1" w:themeShade="7F"/>
      <w:spacing w:val="10"/>
    </w:rPr>
  </w:style>
  <w:style w:type="character" w:styleId="Odwoaniedelikatne">
    <w:name w:val="Subtle Reference"/>
    <w:uiPriority w:val="31"/>
    <w:qFormat/>
    <w:rsid w:val="00AA4704"/>
    <w:rPr>
      <w:b/>
      <w:bCs/>
      <w:color w:val="4F81BD" w:themeColor="accent1"/>
    </w:rPr>
  </w:style>
  <w:style w:type="character" w:styleId="Odwoanieintensywne">
    <w:name w:val="Intense Reference"/>
    <w:uiPriority w:val="32"/>
    <w:qFormat/>
    <w:rsid w:val="00AA4704"/>
    <w:rPr>
      <w:b/>
      <w:bCs/>
      <w:i/>
      <w:iCs/>
      <w:caps/>
      <w:color w:val="4F81BD" w:themeColor="accent1"/>
    </w:rPr>
  </w:style>
  <w:style w:type="character" w:styleId="Tytuksiki">
    <w:name w:val="Book Title"/>
    <w:uiPriority w:val="33"/>
    <w:qFormat/>
    <w:rsid w:val="00AA4704"/>
    <w:rPr>
      <w:b/>
      <w:bCs/>
      <w:i/>
      <w:iCs/>
      <w:spacing w:val="9"/>
    </w:rPr>
  </w:style>
  <w:style w:type="paragraph" w:styleId="Nagwekspisutreci">
    <w:name w:val="TOC Heading"/>
    <w:basedOn w:val="Nagwek1"/>
    <w:next w:val="Normalny"/>
    <w:uiPriority w:val="39"/>
    <w:semiHidden/>
    <w:unhideWhenUsed/>
    <w:qFormat/>
    <w:rsid w:val="00AA4704"/>
    <w:pPr>
      <w:outlineLvl w:val="9"/>
    </w:pPr>
    <w:rPr>
      <w:lang w:bidi="en-US"/>
    </w:rPr>
  </w:style>
  <w:style w:type="character" w:customStyle="1" w:styleId="BezodstpwZnak">
    <w:name w:val="Bez odstępów Znak"/>
    <w:basedOn w:val="Domylnaczcionkaakapitu"/>
    <w:link w:val="Bezodstpw"/>
    <w:uiPriority w:val="1"/>
    <w:rsid w:val="00AA4704"/>
    <w:rPr>
      <w:sz w:val="20"/>
      <w:szCs w:val="20"/>
    </w:rPr>
  </w:style>
  <w:style w:type="paragraph" w:styleId="Spistreci1">
    <w:name w:val="toc 1"/>
    <w:basedOn w:val="Normalny"/>
    <w:next w:val="Normalny"/>
    <w:autoRedefine/>
    <w:uiPriority w:val="39"/>
    <w:unhideWhenUsed/>
    <w:rsid w:val="007F135C"/>
    <w:pPr>
      <w:spacing w:after="100"/>
    </w:pPr>
  </w:style>
  <w:style w:type="character" w:styleId="Hipercze">
    <w:name w:val="Hyperlink"/>
    <w:basedOn w:val="Domylnaczcionkaakapitu"/>
    <w:uiPriority w:val="99"/>
    <w:unhideWhenUsed/>
    <w:rsid w:val="007F135C"/>
    <w:rPr>
      <w:color w:val="0000FF" w:themeColor="hyperlink"/>
      <w:u w:val="single"/>
    </w:rPr>
  </w:style>
  <w:style w:type="paragraph" w:styleId="Spistreci2">
    <w:name w:val="toc 2"/>
    <w:basedOn w:val="Normalny"/>
    <w:next w:val="Normalny"/>
    <w:autoRedefine/>
    <w:uiPriority w:val="39"/>
    <w:unhideWhenUsed/>
    <w:rsid w:val="00246893"/>
    <w:pPr>
      <w:spacing w:after="100"/>
      <w:ind w:left="200"/>
    </w:pPr>
  </w:style>
  <w:style w:type="table" w:styleId="Tabela-Siatka">
    <w:name w:val="Table Grid"/>
    <w:basedOn w:val="Standardowy"/>
    <w:uiPriority w:val="59"/>
    <w:rsid w:val="00037CB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alistaakcent1">
    <w:name w:val="Light List Accent 1"/>
    <w:basedOn w:val="Standardowy"/>
    <w:uiPriority w:val="61"/>
    <w:rsid w:val="00037CB8"/>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65210">
      <w:bodyDiv w:val="1"/>
      <w:marLeft w:val="0"/>
      <w:marRight w:val="0"/>
      <w:marTop w:val="0"/>
      <w:marBottom w:val="0"/>
      <w:divBdr>
        <w:top w:val="none" w:sz="0" w:space="0" w:color="auto"/>
        <w:left w:val="none" w:sz="0" w:space="0" w:color="auto"/>
        <w:bottom w:val="none" w:sz="0" w:space="0" w:color="auto"/>
        <w:right w:val="none" w:sz="0" w:space="0" w:color="auto"/>
      </w:divBdr>
    </w:div>
    <w:div w:id="7179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sp02jr\Desktop\gospodarka_makro\CPI\food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sp02jr\Desktop\gospodarka_makro\CPI\food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sp02jr\Desktop\gospodarka_makro\CPI\food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ublic\Documents\Moja%20muzyka\Zeszyt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ublic\Documents\Moja%20muzyka\Zeszyt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ublic\Documents\Moja%20muzyka\Zeszyt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sp02jr\Desktop\gospodarka_makro\CPI\food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2006</c:v>
          </c:tx>
          <c:marker>
            <c:symbol val="none"/>
          </c:marker>
          <c:val>
            <c:numRef>
              <c:f>main!$H$3:$H$14</c:f>
              <c:numCache>
                <c:formatCode>0.0</c:formatCode>
                <c:ptCount val="12"/>
                <c:pt idx="0">
                  <c:v>-0.5</c:v>
                </c:pt>
                <c:pt idx="1">
                  <c:v>-0.79999999999999716</c:v>
                </c:pt>
                <c:pt idx="2">
                  <c:v>-1.9000000000000057</c:v>
                </c:pt>
                <c:pt idx="3">
                  <c:v>0</c:v>
                </c:pt>
                <c:pt idx="4">
                  <c:v>1.2999999999999972</c:v>
                </c:pt>
                <c:pt idx="5">
                  <c:v>-0.20000000000000284</c:v>
                </c:pt>
                <c:pt idx="6">
                  <c:v>1.0999999999999943</c:v>
                </c:pt>
                <c:pt idx="7">
                  <c:v>2.7999999999999972</c:v>
                </c:pt>
                <c:pt idx="8">
                  <c:v>0.40000000000000568</c:v>
                </c:pt>
                <c:pt idx="9">
                  <c:v>-1.2999999999999972</c:v>
                </c:pt>
                <c:pt idx="10">
                  <c:v>-0.90000000000000568</c:v>
                </c:pt>
                <c:pt idx="11">
                  <c:v>-1.2000000000000028</c:v>
                </c:pt>
              </c:numCache>
            </c:numRef>
          </c:val>
          <c:smooth val="0"/>
        </c:ser>
        <c:ser>
          <c:idx val="1"/>
          <c:order val="1"/>
          <c:tx>
            <c:v>2007</c:v>
          </c:tx>
          <c:marker>
            <c:symbol val="none"/>
          </c:marker>
          <c:val>
            <c:numRef>
              <c:f>main!$H$15:$H$26</c:f>
              <c:numCache>
                <c:formatCode>0.0</c:formatCode>
                <c:ptCount val="12"/>
                <c:pt idx="0">
                  <c:v>1.9000000000000057</c:v>
                </c:pt>
                <c:pt idx="1">
                  <c:v>0.5</c:v>
                </c:pt>
                <c:pt idx="2">
                  <c:v>1.0999999999999943</c:v>
                </c:pt>
                <c:pt idx="3">
                  <c:v>-0.59999999999999432</c:v>
                </c:pt>
                <c:pt idx="4">
                  <c:v>0.20000000000000284</c:v>
                </c:pt>
                <c:pt idx="5">
                  <c:v>0.79999999999999716</c:v>
                </c:pt>
                <c:pt idx="6">
                  <c:v>3.0999999999999943</c:v>
                </c:pt>
                <c:pt idx="7">
                  <c:v>0.5</c:v>
                </c:pt>
                <c:pt idx="8">
                  <c:v>0.5</c:v>
                </c:pt>
                <c:pt idx="9">
                  <c:v>-0.20000000000000284</c:v>
                </c:pt>
                <c:pt idx="10">
                  <c:v>-0.20000000000000284</c:v>
                </c:pt>
                <c:pt idx="11">
                  <c:v>-1.2999999999999972</c:v>
                </c:pt>
              </c:numCache>
            </c:numRef>
          </c:val>
          <c:smooth val="0"/>
        </c:ser>
        <c:ser>
          <c:idx val="2"/>
          <c:order val="2"/>
          <c:tx>
            <c:v>2008</c:v>
          </c:tx>
          <c:marker>
            <c:symbol val="none"/>
          </c:marker>
          <c:val>
            <c:numRef>
              <c:f>main!$H$27:$H$38</c:f>
              <c:numCache>
                <c:formatCode>0.0</c:formatCode>
                <c:ptCount val="12"/>
                <c:pt idx="0">
                  <c:v>1.4000000000000057</c:v>
                </c:pt>
                <c:pt idx="1">
                  <c:v>-0.79999999999999716</c:v>
                </c:pt>
                <c:pt idx="2">
                  <c:v>0.40000000000000568</c:v>
                </c:pt>
                <c:pt idx="3">
                  <c:v>0</c:v>
                </c:pt>
                <c:pt idx="4">
                  <c:v>0.79999999999999716</c:v>
                </c:pt>
                <c:pt idx="5">
                  <c:v>2</c:v>
                </c:pt>
                <c:pt idx="6">
                  <c:v>0.70000000000000284</c:v>
                </c:pt>
                <c:pt idx="7">
                  <c:v>0.79999999999999716</c:v>
                </c:pt>
                <c:pt idx="8">
                  <c:v>0.59999999999999432</c:v>
                </c:pt>
                <c:pt idx="9">
                  <c:v>-9.9999999999994316E-2</c:v>
                </c:pt>
                <c:pt idx="10">
                  <c:v>-0.29999999999999716</c:v>
                </c:pt>
                <c:pt idx="11">
                  <c:v>-9.9999999999994316E-2</c:v>
                </c:pt>
              </c:numCache>
            </c:numRef>
          </c:val>
          <c:smooth val="0"/>
        </c:ser>
        <c:ser>
          <c:idx val="3"/>
          <c:order val="3"/>
          <c:tx>
            <c:v>2009</c:v>
          </c:tx>
          <c:marker>
            <c:symbol val="none"/>
          </c:marker>
          <c:val>
            <c:numRef>
              <c:f>main!$H$39:$H$50</c:f>
              <c:numCache>
                <c:formatCode>0.0</c:formatCode>
                <c:ptCount val="12"/>
                <c:pt idx="0">
                  <c:v>2.5</c:v>
                </c:pt>
                <c:pt idx="1">
                  <c:v>-9.9999999999994316E-2</c:v>
                </c:pt>
                <c:pt idx="2">
                  <c:v>2.5</c:v>
                </c:pt>
                <c:pt idx="3">
                  <c:v>1.5999999999999943</c:v>
                </c:pt>
                <c:pt idx="4">
                  <c:v>0.40000000000000568</c:v>
                </c:pt>
                <c:pt idx="5">
                  <c:v>1.2000000000000028</c:v>
                </c:pt>
                <c:pt idx="6">
                  <c:v>1</c:v>
                </c:pt>
                <c:pt idx="7">
                  <c:v>9.9999999999994316E-2</c:v>
                </c:pt>
                <c:pt idx="8">
                  <c:v>-0.40000000000000568</c:v>
                </c:pt>
                <c:pt idx="9">
                  <c:v>-1.0999999999999943</c:v>
                </c:pt>
                <c:pt idx="10">
                  <c:v>-1.2000000000000028</c:v>
                </c:pt>
                <c:pt idx="11">
                  <c:v>-1</c:v>
                </c:pt>
              </c:numCache>
            </c:numRef>
          </c:val>
          <c:smooth val="0"/>
        </c:ser>
        <c:ser>
          <c:idx val="4"/>
          <c:order val="4"/>
          <c:tx>
            <c:v>2010</c:v>
          </c:tx>
          <c:marker>
            <c:symbol val="none"/>
          </c:marker>
          <c:val>
            <c:numRef>
              <c:f>main!$H$51:$H$62</c:f>
              <c:numCache>
                <c:formatCode>0.0</c:formatCode>
                <c:ptCount val="12"/>
                <c:pt idx="0">
                  <c:v>0.20000000000000284</c:v>
                </c:pt>
                <c:pt idx="1">
                  <c:v>-0.79999999999999716</c:v>
                </c:pt>
                <c:pt idx="2">
                  <c:v>-0.40000000000000568</c:v>
                </c:pt>
                <c:pt idx="3">
                  <c:v>-0.20000000000000284</c:v>
                </c:pt>
                <c:pt idx="4">
                  <c:v>-0.20000000000000284</c:v>
                </c:pt>
                <c:pt idx="5">
                  <c:v>1.5999999999999943</c:v>
                </c:pt>
                <c:pt idx="6">
                  <c:v>-9.9999999999994316E-2</c:v>
                </c:pt>
                <c:pt idx="7">
                  <c:v>0.90000000000000568</c:v>
                </c:pt>
                <c:pt idx="8">
                  <c:v>-9.9999999999994316E-2</c:v>
                </c:pt>
                <c:pt idx="9">
                  <c:v>-1</c:v>
                </c:pt>
                <c:pt idx="10">
                  <c:v>-0.79999999999999716</c:v>
                </c:pt>
                <c:pt idx="11">
                  <c:v>-0.29999999999999716</c:v>
                </c:pt>
              </c:numCache>
            </c:numRef>
          </c:val>
          <c:smooth val="0"/>
        </c:ser>
        <c:ser>
          <c:idx val="5"/>
          <c:order val="5"/>
          <c:tx>
            <c:v>2011</c:v>
          </c:tx>
          <c:marker>
            <c:symbol val="none"/>
          </c:marker>
          <c:val>
            <c:numRef>
              <c:f>main!$H$63:$H$74</c:f>
              <c:numCache>
                <c:formatCode>0.0</c:formatCode>
                <c:ptCount val="12"/>
                <c:pt idx="0">
                  <c:v>1.7000000000000028</c:v>
                </c:pt>
                <c:pt idx="1">
                  <c:v>-9.9999999999994316E-2</c:v>
                </c:pt>
                <c:pt idx="2">
                  <c:v>2.2999999999999972</c:v>
                </c:pt>
                <c:pt idx="3">
                  <c:v>1</c:v>
                </c:pt>
                <c:pt idx="4">
                  <c:v>0.90000000000000568</c:v>
                </c:pt>
                <c:pt idx="5">
                  <c:v>-0.59999999999999432</c:v>
                </c:pt>
                <c:pt idx="6">
                  <c:v>0.40000000000000568</c:v>
                </c:pt>
                <c:pt idx="7">
                  <c:v>1.2000000000000028</c:v>
                </c:pt>
                <c:pt idx="8">
                  <c:v>0.79999999999999716</c:v>
                </c:pt>
                <c:pt idx="9">
                  <c:v>1.4000000000000057</c:v>
                </c:pt>
                <c:pt idx="10">
                  <c:v>0.70000000000000284</c:v>
                </c:pt>
                <c:pt idx="11">
                  <c:v>0.79999999999999716</c:v>
                </c:pt>
              </c:numCache>
            </c:numRef>
          </c:val>
          <c:smooth val="0"/>
        </c:ser>
        <c:ser>
          <c:idx val="6"/>
          <c:order val="6"/>
          <c:tx>
            <c:v>2012</c:v>
          </c:tx>
          <c:marker>
            <c:symbol val="none"/>
          </c:marker>
          <c:val>
            <c:numRef>
              <c:f>main!$H$75:$H$86</c:f>
              <c:numCache>
                <c:formatCode>0.0</c:formatCode>
                <c:ptCount val="12"/>
                <c:pt idx="0">
                  <c:v>1</c:v>
                </c:pt>
                <c:pt idx="1">
                  <c:v>0.59999999999999432</c:v>
                </c:pt>
                <c:pt idx="2">
                  <c:v>0.40000000000000568</c:v>
                </c:pt>
                <c:pt idx="3">
                  <c:v>0.29999999999999716</c:v>
                </c:pt>
                <c:pt idx="4">
                  <c:v>0.40000000000000568</c:v>
                </c:pt>
                <c:pt idx="5">
                  <c:v>1.2999999999999972</c:v>
                </c:pt>
                <c:pt idx="6">
                  <c:v>9.9999999999994316E-2</c:v>
                </c:pt>
                <c:pt idx="7">
                  <c:v>0.20000000000000284</c:v>
                </c:pt>
                <c:pt idx="8">
                  <c:v>0.90000000000000568</c:v>
                </c:pt>
                <c:pt idx="9">
                  <c:v>0.20000000000000284</c:v>
                </c:pt>
                <c:pt idx="10">
                  <c:v>0</c:v>
                </c:pt>
                <c:pt idx="11">
                  <c:v>-0.5</c:v>
                </c:pt>
              </c:numCache>
            </c:numRef>
          </c:val>
          <c:smooth val="0"/>
        </c:ser>
        <c:ser>
          <c:idx val="7"/>
          <c:order val="7"/>
          <c:tx>
            <c:v>2013</c:v>
          </c:tx>
          <c:marker>
            <c:symbol val="none"/>
          </c:marker>
          <c:val>
            <c:numRef>
              <c:f>main!$H$87:$H$98</c:f>
              <c:numCache>
                <c:formatCode>0.0</c:formatCode>
                <c:ptCount val="12"/>
                <c:pt idx="0">
                  <c:v>0.20000000000000284</c:v>
                </c:pt>
                <c:pt idx="1">
                  <c:v>-0.70000000000000284</c:v>
                </c:pt>
                <c:pt idx="2">
                  <c:v>0.5</c:v>
                </c:pt>
                <c:pt idx="3">
                  <c:v>-9.9999999999994316E-2</c:v>
                </c:pt>
                <c:pt idx="4">
                  <c:v>-9.9999999999994316E-2</c:v>
                </c:pt>
                <c:pt idx="5">
                  <c:v>0.40000000000000568</c:v>
                </c:pt>
                <c:pt idx="6">
                  <c:v>0.70000000000000284</c:v>
                </c:pt>
                <c:pt idx="7">
                  <c:v>0.40000000000000568</c:v>
                </c:pt>
                <c:pt idx="8">
                  <c:v>1.0999999999999943</c:v>
                </c:pt>
                <c:pt idx="9">
                  <c:v>-1</c:v>
                </c:pt>
                <c:pt idx="10">
                  <c:v>-0.79999999999999716</c:v>
                </c:pt>
                <c:pt idx="11">
                  <c:v>-0.40000000000000568</c:v>
                </c:pt>
              </c:numCache>
            </c:numRef>
          </c:val>
          <c:smooth val="0"/>
        </c:ser>
        <c:ser>
          <c:idx val="8"/>
          <c:order val="8"/>
          <c:tx>
            <c:v>2014</c:v>
          </c:tx>
          <c:marker>
            <c:symbol val="none"/>
          </c:marker>
          <c:val>
            <c:numRef>
              <c:f>main!$H$99:$H$110</c:f>
              <c:numCache>
                <c:formatCode>0.0</c:formatCode>
                <c:ptCount val="12"/>
                <c:pt idx="0">
                  <c:v>0.4</c:v>
                </c:pt>
                <c:pt idx="1">
                  <c:v>0</c:v>
                </c:pt>
                <c:pt idx="2">
                  <c:v>-0.1</c:v>
                </c:pt>
                <c:pt idx="3">
                  <c:v>0.2</c:v>
                </c:pt>
                <c:pt idx="4">
                  <c:v>0.1</c:v>
                </c:pt>
                <c:pt idx="5">
                  <c:v>0.4</c:v>
                </c:pt>
                <c:pt idx="6">
                  <c:v>0.1</c:v>
                </c:pt>
                <c:pt idx="7">
                  <c:v>-0.2</c:v>
                </c:pt>
                <c:pt idx="8">
                  <c:v>0</c:v>
                </c:pt>
                <c:pt idx="9">
                  <c:v>0</c:v>
                </c:pt>
                <c:pt idx="10">
                  <c:v>0</c:v>
                </c:pt>
                <c:pt idx="11">
                  <c:v>-0.4</c:v>
                </c:pt>
              </c:numCache>
            </c:numRef>
          </c:val>
          <c:smooth val="0"/>
        </c:ser>
        <c:dLbls>
          <c:showLegendKey val="0"/>
          <c:showVal val="0"/>
          <c:showCatName val="0"/>
          <c:showSerName val="0"/>
          <c:showPercent val="0"/>
          <c:showBubbleSize val="0"/>
        </c:dLbls>
        <c:marker val="1"/>
        <c:smooth val="0"/>
        <c:axId val="211810560"/>
        <c:axId val="211034112"/>
      </c:lineChart>
      <c:catAx>
        <c:axId val="211810560"/>
        <c:scaling>
          <c:orientation val="minMax"/>
        </c:scaling>
        <c:delete val="0"/>
        <c:axPos val="b"/>
        <c:majorTickMark val="out"/>
        <c:minorTickMark val="none"/>
        <c:tickLblPos val="nextTo"/>
        <c:crossAx val="211034112"/>
        <c:crosses val="autoZero"/>
        <c:auto val="1"/>
        <c:lblAlgn val="ctr"/>
        <c:lblOffset val="100"/>
        <c:noMultiLvlLbl val="0"/>
      </c:catAx>
      <c:valAx>
        <c:axId val="211034112"/>
        <c:scaling>
          <c:orientation val="minMax"/>
        </c:scaling>
        <c:delete val="0"/>
        <c:axPos val="l"/>
        <c:majorGridlines/>
        <c:numFmt formatCode="0.0" sourceLinked="1"/>
        <c:majorTickMark val="out"/>
        <c:minorTickMark val="none"/>
        <c:tickLblPos val="nextTo"/>
        <c:crossAx val="2118105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2006</c:v>
          </c:tx>
          <c:invertIfNegative val="0"/>
          <c:val>
            <c:numRef>
              <c:f>[foody.xlsx]main!$H$3:$H$14</c:f>
              <c:numCache>
                <c:formatCode>0.0</c:formatCode>
                <c:ptCount val="12"/>
                <c:pt idx="0">
                  <c:v>-0.5</c:v>
                </c:pt>
                <c:pt idx="1">
                  <c:v>-0.79999999999999716</c:v>
                </c:pt>
                <c:pt idx="2">
                  <c:v>-1.9000000000000057</c:v>
                </c:pt>
                <c:pt idx="3">
                  <c:v>0</c:v>
                </c:pt>
                <c:pt idx="4">
                  <c:v>1.2999999999999972</c:v>
                </c:pt>
                <c:pt idx="5">
                  <c:v>-0.20000000000000284</c:v>
                </c:pt>
                <c:pt idx="6">
                  <c:v>1.0999999999999943</c:v>
                </c:pt>
                <c:pt idx="7">
                  <c:v>2.7999999999999972</c:v>
                </c:pt>
                <c:pt idx="8">
                  <c:v>0.40000000000000568</c:v>
                </c:pt>
                <c:pt idx="9">
                  <c:v>-1.2999999999999972</c:v>
                </c:pt>
                <c:pt idx="10">
                  <c:v>-0.90000000000000568</c:v>
                </c:pt>
                <c:pt idx="11">
                  <c:v>-1.2000000000000028</c:v>
                </c:pt>
              </c:numCache>
            </c:numRef>
          </c:val>
        </c:ser>
        <c:ser>
          <c:idx val="1"/>
          <c:order val="1"/>
          <c:tx>
            <c:v>2007</c:v>
          </c:tx>
          <c:invertIfNegative val="0"/>
          <c:val>
            <c:numRef>
              <c:f>[foody.xlsx]main!$H$15:$H$26</c:f>
              <c:numCache>
                <c:formatCode>0.0</c:formatCode>
                <c:ptCount val="12"/>
                <c:pt idx="0">
                  <c:v>1.9000000000000057</c:v>
                </c:pt>
                <c:pt idx="1">
                  <c:v>0.5</c:v>
                </c:pt>
                <c:pt idx="2">
                  <c:v>1.0999999999999943</c:v>
                </c:pt>
                <c:pt idx="3">
                  <c:v>-0.59999999999999432</c:v>
                </c:pt>
                <c:pt idx="4">
                  <c:v>0.20000000000000284</c:v>
                </c:pt>
                <c:pt idx="5">
                  <c:v>0.79999999999999716</c:v>
                </c:pt>
                <c:pt idx="6">
                  <c:v>3.0999999999999943</c:v>
                </c:pt>
                <c:pt idx="7">
                  <c:v>0.5</c:v>
                </c:pt>
                <c:pt idx="8">
                  <c:v>0.5</c:v>
                </c:pt>
                <c:pt idx="9">
                  <c:v>-0.20000000000000284</c:v>
                </c:pt>
                <c:pt idx="10">
                  <c:v>-0.20000000000000284</c:v>
                </c:pt>
                <c:pt idx="11">
                  <c:v>-1.2999999999999972</c:v>
                </c:pt>
              </c:numCache>
            </c:numRef>
          </c:val>
        </c:ser>
        <c:ser>
          <c:idx val="2"/>
          <c:order val="2"/>
          <c:tx>
            <c:v>2008</c:v>
          </c:tx>
          <c:invertIfNegative val="0"/>
          <c:val>
            <c:numRef>
              <c:f>[foody.xlsx]main!$H$27:$H$38</c:f>
              <c:numCache>
                <c:formatCode>0.0</c:formatCode>
                <c:ptCount val="12"/>
                <c:pt idx="0">
                  <c:v>1.4000000000000057</c:v>
                </c:pt>
                <c:pt idx="1">
                  <c:v>-0.79999999999999716</c:v>
                </c:pt>
                <c:pt idx="2">
                  <c:v>0.40000000000000568</c:v>
                </c:pt>
                <c:pt idx="3">
                  <c:v>0</c:v>
                </c:pt>
                <c:pt idx="4">
                  <c:v>0.79999999999999716</c:v>
                </c:pt>
                <c:pt idx="5">
                  <c:v>2</c:v>
                </c:pt>
                <c:pt idx="6">
                  <c:v>0.70000000000000284</c:v>
                </c:pt>
                <c:pt idx="7">
                  <c:v>0.79999999999999716</c:v>
                </c:pt>
                <c:pt idx="8">
                  <c:v>0.59999999999999432</c:v>
                </c:pt>
                <c:pt idx="9">
                  <c:v>-9.9999999999994316E-2</c:v>
                </c:pt>
                <c:pt idx="10">
                  <c:v>-0.29999999999999716</c:v>
                </c:pt>
                <c:pt idx="11">
                  <c:v>-9.9999999999994316E-2</c:v>
                </c:pt>
              </c:numCache>
            </c:numRef>
          </c:val>
        </c:ser>
        <c:ser>
          <c:idx val="3"/>
          <c:order val="3"/>
          <c:tx>
            <c:v>2009</c:v>
          </c:tx>
          <c:invertIfNegative val="0"/>
          <c:val>
            <c:numRef>
              <c:f>[foody.xlsx]main!$H$39:$H$50</c:f>
              <c:numCache>
                <c:formatCode>0.0</c:formatCode>
                <c:ptCount val="12"/>
                <c:pt idx="0">
                  <c:v>2.5</c:v>
                </c:pt>
                <c:pt idx="1">
                  <c:v>-9.9999999999994316E-2</c:v>
                </c:pt>
                <c:pt idx="2">
                  <c:v>2.5</c:v>
                </c:pt>
                <c:pt idx="3">
                  <c:v>1.5999999999999943</c:v>
                </c:pt>
                <c:pt idx="4">
                  <c:v>0.40000000000000568</c:v>
                </c:pt>
                <c:pt idx="5">
                  <c:v>1.2000000000000028</c:v>
                </c:pt>
                <c:pt idx="6">
                  <c:v>1</c:v>
                </c:pt>
                <c:pt idx="7">
                  <c:v>9.9999999999994316E-2</c:v>
                </c:pt>
                <c:pt idx="8">
                  <c:v>-0.40000000000000568</c:v>
                </c:pt>
                <c:pt idx="9">
                  <c:v>-1.0999999999999943</c:v>
                </c:pt>
                <c:pt idx="10">
                  <c:v>-1.2000000000000028</c:v>
                </c:pt>
                <c:pt idx="11">
                  <c:v>-1</c:v>
                </c:pt>
              </c:numCache>
            </c:numRef>
          </c:val>
        </c:ser>
        <c:ser>
          <c:idx val="4"/>
          <c:order val="4"/>
          <c:tx>
            <c:v>2010</c:v>
          </c:tx>
          <c:invertIfNegative val="0"/>
          <c:val>
            <c:numRef>
              <c:f>[foody.xlsx]main!$H$51:$H$62</c:f>
              <c:numCache>
                <c:formatCode>0.0</c:formatCode>
                <c:ptCount val="12"/>
                <c:pt idx="0">
                  <c:v>0.20000000000000284</c:v>
                </c:pt>
                <c:pt idx="1">
                  <c:v>-0.79999999999999716</c:v>
                </c:pt>
                <c:pt idx="2">
                  <c:v>-0.40000000000000568</c:v>
                </c:pt>
                <c:pt idx="3">
                  <c:v>-0.20000000000000284</c:v>
                </c:pt>
                <c:pt idx="4">
                  <c:v>-0.20000000000000284</c:v>
                </c:pt>
                <c:pt idx="5">
                  <c:v>1.5999999999999943</c:v>
                </c:pt>
                <c:pt idx="6">
                  <c:v>-9.9999999999994316E-2</c:v>
                </c:pt>
                <c:pt idx="7">
                  <c:v>0.90000000000000568</c:v>
                </c:pt>
                <c:pt idx="8">
                  <c:v>-9.9999999999994316E-2</c:v>
                </c:pt>
                <c:pt idx="9">
                  <c:v>-1</c:v>
                </c:pt>
                <c:pt idx="10">
                  <c:v>-0.79999999999999716</c:v>
                </c:pt>
                <c:pt idx="11">
                  <c:v>-0.29999999999999716</c:v>
                </c:pt>
              </c:numCache>
            </c:numRef>
          </c:val>
        </c:ser>
        <c:ser>
          <c:idx val="5"/>
          <c:order val="5"/>
          <c:tx>
            <c:v>2011</c:v>
          </c:tx>
          <c:invertIfNegative val="0"/>
          <c:val>
            <c:numRef>
              <c:f>[foody.xlsx]main!$H$63:$H$74</c:f>
              <c:numCache>
                <c:formatCode>0.0</c:formatCode>
                <c:ptCount val="12"/>
                <c:pt idx="0">
                  <c:v>1.7000000000000028</c:v>
                </c:pt>
                <c:pt idx="1">
                  <c:v>-9.9999999999994316E-2</c:v>
                </c:pt>
                <c:pt idx="2">
                  <c:v>2.2999999999999972</c:v>
                </c:pt>
                <c:pt idx="3">
                  <c:v>1</c:v>
                </c:pt>
                <c:pt idx="4">
                  <c:v>0.90000000000000568</c:v>
                </c:pt>
                <c:pt idx="5">
                  <c:v>-0.59999999999999432</c:v>
                </c:pt>
                <c:pt idx="6">
                  <c:v>0.40000000000000568</c:v>
                </c:pt>
                <c:pt idx="7">
                  <c:v>1.2000000000000028</c:v>
                </c:pt>
                <c:pt idx="8">
                  <c:v>0.79999999999999716</c:v>
                </c:pt>
                <c:pt idx="9">
                  <c:v>1.4000000000000057</c:v>
                </c:pt>
                <c:pt idx="10">
                  <c:v>0.70000000000000284</c:v>
                </c:pt>
                <c:pt idx="11">
                  <c:v>0.79999999999999716</c:v>
                </c:pt>
              </c:numCache>
            </c:numRef>
          </c:val>
        </c:ser>
        <c:ser>
          <c:idx val="6"/>
          <c:order val="6"/>
          <c:tx>
            <c:v>2012</c:v>
          </c:tx>
          <c:invertIfNegative val="0"/>
          <c:val>
            <c:numRef>
              <c:f>[foody.xlsx]main!$H$75:$H$86</c:f>
              <c:numCache>
                <c:formatCode>0.0</c:formatCode>
                <c:ptCount val="12"/>
                <c:pt idx="0">
                  <c:v>1</c:v>
                </c:pt>
                <c:pt idx="1">
                  <c:v>0.59999999999999432</c:v>
                </c:pt>
                <c:pt idx="2">
                  <c:v>0.40000000000000568</c:v>
                </c:pt>
                <c:pt idx="3">
                  <c:v>0.29999999999999716</c:v>
                </c:pt>
                <c:pt idx="4">
                  <c:v>0.40000000000000568</c:v>
                </c:pt>
                <c:pt idx="5">
                  <c:v>1.2999999999999972</c:v>
                </c:pt>
                <c:pt idx="6">
                  <c:v>9.9999999999994316E-2</c:v>
                </c:pt>
                <c:pt idx="7">
                  <c:v>0.20000000000000284</c:v>
                </c:pt>
                <c:pt idx="8">
                  <c:v>0.90000000000000568</c:v>
                </c:pt>
                <c:pt idx="9">
                  <c:v>0.20000000000000284</c:v>
                </c:pt>
                <c:pt idx="10">
                  <c:v>0</c:v>
                </c:pt>
                <c:pt idx="11">
                  <c:v>-0.5</c:v>
                </c:pt>
              </c:numCache>
            </c:numRef>
          </c:val>
        </c:ser>
        <c:ser>
          <c:idx val="7"/>
          <c:order val="7"/>
          <c:tx>
            <c:v>2013</c:v>
          </c:tx>
          <c:invertIfNegative val="0"/>
          <c:val>
            <c:numRef>
              <c:f>[foody.xlsx]main!$H$87:$H$98</c:f>
              <c:numCache>
                <c:formatCode>0.0</c:formatCode>
                <c:ptCount val="12"/>
                <c:pt idx="0">
                  <c:v>0.20000000000000284</c:v>
                </c:pt>
                <c:pt idx="1">
                  <c:v>-0.70000000000000284</c:v>
                </c:pt>
                <c:pt idx="2">
                  <c:v>0.5</c:v>
                </c:pt>
                <c:pt idx="3">
                  <c:v>-9.9999999999994316E-2</c:v>
                </c:pt>
                <c:pt idx="4">
                  <c:v>-9.9999999999994316E-2</c:v>
                </c:pt>
                <c:pt idx="5">
                  <c:v>0.40000000000000568</c:v>
                </c:pt>
                <c:pt idx="6">
                  <c:v>0.70000000000000284</c:v>
                </c:pt>
                <c:pt idx="7">
                  <c:v>0.40000000000000568</c:v>
                </c:pt>
                <c:pt idx="8">
                  <c:v>1.0999999999999943</c:v>
                </c:pt>
                <c:pt idx="9">
                  <c:v>-1</c:v>
                </c:pt>
                <c:pt idx="10">
                  <c:v>-0.79999999999999716</c:v>
                </c:pt>
                <c:pt idx="11">
                  <c:v>-0.40000000000000568</c:v>
                </c:pt>
              </c:numCache>
            </c:numRef>
          </c:val>
        </c:ser>
        <c:ser>
          <c:idx val="8"/>
          <c:order val="8"/>
          <c:tx>
            <c:v>2014</c:v>
          </c:tx>
          <c:invertIfNegative val="0"/>
          <c:val>
            <c:numRef>
              <c:f>[foody.xlsx]main!$H$99:$H$110</c:f>
              <c:numCache>
                <c:formatCode>0.0</c:formatCode>
                <c:ptCount val="12"/>
                <c:pt idx="0">
                  <c:v>0.4</c:v>
                </c:pt>
                <c:pt idx="1">
                  <c:v>0</c:v>
                </c:pt>
                <c:pt idx="2">
                  <c:v>-0.1</c:v>
                </c:pt>
                <c:pt idx="3">
                  <c:v>0.2</c:v>
                </c:pt>
                <c:pt idx="4">
                  <c:v>0.1</c:v>
                </c:pt>
                <c:pt idx="5">
                  <c:v>0.4</c:v>
                </c:pt>
                <c:pt idx="6">
                  <c:v>0.1</c:v>
                </c:pt>
                <c:pt idx="7">
                  <c:v>-0.2</c:v>
                </c:pt>
                <c:pt idx="8">
                  <c:v>0</c:v>
                </c:pt>
                <c:pt idx="9">
                  <c:v>0</c:v>
                </c:pt>
                <c:pt idx="10">
                  <c:v>0</c:v>
                </c:pt>
                <c:pt idx="11">
                  <c:v>-0.4</c:v>
                </c:pt>
              </c:numCache>
            </c:numRef>
          </c:val>
        </c:ser>
        <c:dLbls>
          <c:showLegendKey val="0"/>
          <c:showVal val="0"/>
          <c:showCatName val="0"/>
          <c:showSerName val="0"/>
          <c:showPercent val="0"/>
          <c:showBubbleSize val="0"/>
        </c:dLbls>
        <c:gapWidth val="150"/>
        <c:axId val="211065088"/>
        <c:axId val="211070976"/>
      </c:barChart>
      <c:catAx>
        <c:axId val="211065088"/>
        <c:scaling>
          <c:orientation val="minMax"/>
        </c:scaling>
        <c:delete val="0"/>
        <c:axPos val="b"/>
        <c:majorTickMark val="out"/>
        <c:minorTickMark val="none"/>
        <c:tickLblPos val="nextTo"/>
        <c:crossAx val="211070976"/>
        <c:crosses val="autoZero"/>
        <c:auto val="1"/>
        <c:lblAlgn val="ctr"/>
        <c:lblOffset val="100"/>
        <c:noMultiLvlLbl val="0"/>
      </c:catAx>
      <c:valAx>
        <c:axId val="211070976"/>
        <c:scaling>
          <c:orientation val="minMax"/>
        </c:scaling>
        <c:delete val="0"/>
        <c:axPos val="l"/>
        <c:numFmt formatCode="0.0" sourceLinked="1"/>
        <c:majorTickMark val="out"/>
        <c:minorTickMark val="none"/>
        <c:tickLblPos val="nextTo"/>
        <c:crossAx val="21106508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a:t>Warzywa</a:t>
            </a:r>
          </a:p>
        </c:rich>
      </c:tx>
      <c:overlay val="0"/>
    </c:title>
    <c:autoTitleDeleted val="0"/>
    <c:plotArea>
      <c:layout/>
      <c:barChart>
        <c:barDir val="col"/>
        <c:grouping val="clustered"/>
        <c:varyColors val="0"/>
        <c:ser>
          <c:idx val="0"/>
          <c:order val="0"/>
          <c:tx>
            <c:v>2008</c:v>
          </c:tx>
          <c:invertIfNegative val="0"/>
          <c:val>
            <c:numRef>
              <c:f>main!$AC$27:$AC$38</c:f>
              <c:numCache>
                <c:formatCode>0.0</c:formatCode>
                <c:ptCount val="12"/>
                <c:pt idx="0">
                  <c:v>1.2000000000000028</c:v>
                </c:pt>
                <c:pt idx="1">
                  <c:v>0.29999999999999716</c:v>
                </c:pt>
                <c:pt idx="2">
                  <c:v>1.5999999999999943</c:v>
                </c:pt>
                <c:pt idx="3">
                  <c:v>3.7000000000000028</c:v>
                </c:pt>
                <c:pt idx="4">
                  <c:v>4.7000000000000028</c:v>
                </c:pt>
                <c:pt idx="5">
                  <c:v>-2.7000000000000028</c:v>
                </c:pt>
                <c:pt idx="6">
                  <c:v>-13.700000000000003</c:v>
                </c:pt>
                <c:pt idx="7">
                  <c:v>-15.299999999999997</c:v>
                </c:pt>
                <c:pt idx="8">
                  <c:v>6.5</c:v>
                </c:pt>
                <c:pt idx="9">
                  <c:v>8.2000000000000028</c:v>
                </c:pt>
                <c:pt idx="10">
                  <c:v>8.4000000000000057</c:v>
                </c:pt>
                <c:pt idx="11">
                  <c:v>7</c:v>
                </c:pt>
              </c:numCache>
            </c:numRef>
          </c:val>
        </c:ser>
        <c:ser>
          <c:idx val="1"/>
          <c:order val="1"/>
          <c:tx>
            <c:v>2009</c:v>
          </c:tx>
          <c:invertIfNegative val="0"/>
          <c:val>
            <c:numRef>
              <c:f>main!$AC$39:$AC$50</c:f>
              <c:numCache>
                <c:formatCode>0.0</c:formatCode>
                <c:ptCount val="12"/>
                <c:pt idx="0">
                  <c:v>4.7000000000000028</c:v>
                </c:pt>
                <c:pt idx="1">
                  <c:v>3.5</c:v>
                </c:pt>
                <c:pt idx="2">
                  <c:v>3.2000000000000028</c:v>
                </c:pt>
                <c:pt idx="3">
                  <c:v>6.7999999999999972</c:v>
                </c:pt>
                <c:pt idx="4">
                  <c:v>-0.70000000000000284</c:v>
                </c:pt>
                <c:pt idx="5">
                  <c:v>-7.5</c:v>
                </c:pt>
                <c:pt idx="6">
                  <c:v>-18.099999999999994</c:v>
                </c:pt>
                <c:pt idx="7">
                  <c:v>-9.7000000000000028</c:v>
                </c:pt>
                <c:pt idx="8">
                  <c:v>2.5</c:v>
                </c:pt>
                <c:pt idx="9">
                  <c:v>5.5</c:v>
                </c:pt>
                <c:pt idx="10">
                  <c:v>7.5</c:v>
                </c:pt>
                <c:pt idx="11">
                  <c:v>5.7999999999999972</c:v>
                </c:pt>
              </c:numCache>
            </c:numRef>
          </c:val>
        </c:ser>
        <c:ser>
          <c:idx val="2"/>
          <c:order val="2"/>
          <c:tx>
            <c:v>2010</c:v>
          </c:tx>
          <c:invertIfNegative val="0"/>
          <c:val>
            <c:numRef>
              <c:f>main!$AC$51:$AC$62</c:f>
              <c:numCache>
                <c:formatCode>0.0</c:formatCode>
                <c:ptCount val="12"/>
                <c:pt idx="0">
                  <c:v>7.0999999999999943</c:v>
                </c:pt>
                <c:pt idx="1">
                  <c:v>4.9000000000000057</c:v>
                </c:pt>
                <c:pt idx="2">
                  <c:v>3.9000000000000057</c:v>
                </c:pt>
                <c:pt idx="3">
                  <c:v>6.2999999999999972</c:v>
                </c:pt>
                <c:pt idx="4">
                  <c:v>0.40000000000000568</c:v>
                </c:pt>
                <c:pt idx="5">
                  <c:v>-2.0999999999999943</c:v>
                </c:pt>
                <c:pt idx="6">
                  <c:v>-10.200000000000003</c:v>
                </c:pt>
                <c:pt idx="7">
                  <c:v>-15.799999999999997</c:v>
                </c:pt>
                <c:pt idx="8">
                  <c:v>11.799999999999997</c:v>
                </c:pt>
                <c:pt idx="9">
                  <c:v>7.5</c:v>
                </c:pt>
                <c:pt idx="10">
                  <c:v>4.2000000000000028</c:v>
                </c:pt>
                <c:pt idx="11">
                  <c:v>3.7000000000000028</c:v>
                </c:pt>
              </c:numCache>
            </c:numRef>
          </c:val>
        </c:ser>
        <c:ser>
          <c:idx val="3"/>
          <c:order val="3"/>
          <c:tx>
            <c:v>2011</c:v>
          </c:tx>
          <c:invertIfNegative val="0"/>
          <c:val>
            <c:numRef>
              <c:f>main!$AC$63:$AC$74</c:f>
              <c:numCache>
                <c:formatCode>0.0</c:formatCode>
                <c:ptCount val="12"/>
                <c:pt idx="0">
                  <c:v>5.0999999999999943</c:v>
                </c:pt>
                <c:pt idx="1">
                  <c:v>0.90000000000000568</c:v>
                </c:pt>
                <c:pt idx="2">
                  <c:v>1.5999999999999943</c:v>
                </c:pt>
                <c:pt idx="3">
                  <c:v>2.7000000000000028</c:v>
                </c:pt>
                <c:pt idx="4">
                  <c:v>5.4000000000000057</c:v>
                </c:pt>
                <c:pt idx="5">
                  <c:v>-14.400000000000006</c:v>
                </c:pt>
                <c:pt idx="6">
                  <c:v>-17.599999999999994</c:v>
                </c:pt>
                <c:pt idx="7">
                  <c:v>-13.900000000000006</c:v>
                </c:pt>
                <c:pt idx="8">
                  <c:v>-1.7000000000000028</c:v>
                </c:pt>
                <c:pt idx="9">
                  <c:v>3.5</c:v>
                </c:pt>
                <c:pt idx="10">
                  <c:v>9.0999999999999943</c:v>
                </c:pt>
                <c:pt idx="11">
                  <c:v>4.7000000000000028</c:v>
                </c:pt>
              </c:numCache>
            </c:numRef>
          </c:val>
        </c:ser>
        <c:ser>
          <c:idx val="4"/>
          <c:order val="4"/>
          <c:tx>
            <c:v>2012</c:v>
          </c:tx>
          <c:invertIfNegative val="0"/>
          <c:val>
            <c:numRef>
              <c:f>main!$AC$75:$AC$86</c:f>
              <c:numCache>
                <c:formatCode>0.0</c:formatCode>
                <c:ptCount val="12"/>
                <c:pt idx="0">
                  <c:v>6.7999999999999972</c:v>
                </c:pt>
                <c:pt idx="1">
                  <c:v>3</c:v>
                </c:pt>
                <c:pt idx="2">
                  <c:v>4</c:v>
                </c:pt>
                <c:pt idx="3">
                  <c:v>-3</c:v>
                </c:pt>
                <c:pt idx="4">
                  <c:v>6.2000000000000028</c:v>
                </c:pt>
                <c:pt idx="5">
                  <c:v>0.20000000000000284</c:v>
                </c:pt>
                <c:pt idx="6">
                  <c:v>-19.299999999999997</c:v>
                </c:pt>
                <c:pt idx="7">
                  <c:v>-9</c:v>
                </c:pt>
                <c:pt idx="8">
                  <c:v>-2.0999999999999943</c:v>
                </c:pt>
                <c:pt idx="9">
                  <c:v>5.5999999999999943</c:v>
                </c:pt>
                <c:pt idx="10">
                  <c:v>6.7999999999999972</c:v>
                </c:pt>
                <c:pt idx="11">
                  <c:v>11.900000000000006</c:v>
                </c:pt>
              </c:numCache>
            </c:numRef>
          </c:val>
        </c:ser>
        <c:ser>
          <c:idx val="5"/>
          <c:order val="5"/>
          <c:tx>
            <c:v>2013</c:v>
          </c:tx>
          <c:invertIfNegative val="0"/>
          <c:val>
            <c:numRef>
              <c:f>main!$AC$87:$AC$98</c:f>
              <c:numCache>
                <c:formatCode>0.0</c:formatCode>
                <c:ptCount val="12"/>
                <c:pt idx="0">
                  <c:v>7.2999999999999972</c:v>
                </c:pt>
                <c:pt idx="1">
                  <c:v>0</c:v>
                </c:pt>
                <c:pt idx="2">
                  <c:v>2.5</c:v>
                </c:pt>
                <c:pt idx="3">
                  <c:v>2.4000000000000057</c:v>
                </c:pt>
                <c:pt idx="4">
                  <c:v>4.5</c:v>
                </c:pt>
                <c:pt idx="5">
                  <c:v>-5.2999999999999972</c:v>
                </c:pt>
                <c:pt idx="6">
                  <c:v>-4.0999999999999943</c:v>
                </c:pt>
                <c:pt idx="7">
                  <c:v>-10.299999999999997</c:v>
                </c:pt>
                <c:pt idx="8">
                  <c:v>-0.90000000000000568</c:v>
                </c:pt>
                <c:pt idx="9">
                  <c:v>3.9000000000000057</c:v>
                </c:pt>
                <c:pt idx="10">
                  <c:v>4.5</c:v>
                </c:pt>
                <c:pt idx="11">
                  <c:v>8.9000000000000057</c:v>
                </c:pt>
              </c:numCache>
            </c:numRef>
          </c:val>
        </c:ser>
        <c:ser>
          <c:idx val="6"/>
          <c:order val="6"/>
          <c:tx>
            <c:v>2014</c:v>
          </c:tx>
          <c:invertIfNegative val="0"/>
          <c:val>
            <c:numRef>
              <c:f>main!$AC$99:$AC$110</c:f>
              <c:numCache>
                <c:formatCode>0.0</c:formatCode>
                <c:ptCount val="12"/>
                <c:pt idx="0">
                  <c:v>2.9</c:v>
                </c:pt>
                <c:pt idx="1">
                  <c:v>0.4</c:v>
                </c:pt>
                <c:pt idx="2">
                  <c:v>3.4</c:v>
                </c:pt>
                <c:pt idx="3">
                  <c:v>1.8</c:v>
                </c:pt>
                <c:pt idx="4">
                  <c:v>2.2999999999999998</c:v>
                </c:pt>
                <c:pt idx="5">
                  <c:v>-9.3000000000000007</c:v>
                </c:pt>
                <c:pt idx="6">
                  <c:v>-9.1</c:v>
                </c:pt>
                <c:pt idx="7">
                  <c:v>-14</c:v>
                </c:pt>
                <c:pt idx="8">
                  <c:v>-0.2</c:v>
                </c:pt>
                <c:pt idx="9">
                  <c:v>3.9</c:v>
                </c:pt>
                <c:pt idx="10">
                  <c:v>5.2</c:v>
                </c:pt>
                <c:pt idx="11">
                  <c:v>9.1999999999999993</c:v>
                </c:pt>
              </c:numCache>
            </c:numRef>
          </c:val>
        </c:ser>
        <c:dLbls>
          <c:showLegendKey val="0"/>
          <c:showVal val="0"/>
          <c:showCatName val="0"/>
          <c:showSerName val="0"/>
          <c:showPercent val="0"/>
          <c:showBubbleSize val="0"/>
        </c:dLbls>
        <c:gapWidth val="150"/>
        <c:axId val="212025728"/>
        <c:axId val="212027264"/>
      </c:barChart>
      <c:catAx>
        <c:axId val="212025728"/>
        <c:scaling>
          <c:orientation val="minMax"/>
        </c:scaling>
        <c:delete val="0"/>
        <c:axPos val="b"/>
        <c:majorTickMark val="out"/>
        <c:minorTickMark val="none"/>
        <c:tickLblPos val="nextTo"/>
        <c:crossAx val="212027264"/>
        <c:crosses val="autoZero"/>
        <c:auto val="1"/>
        <c:lblAlgn val="ctr"/>
        <c:lblOffset val="100"/>
        <c:noMultiLvlLbl val="0"/>
      </c:catAx>
      <c:valAx>
        <c:axId val="212027264"/>
        <c:scaling>
          <c:orientation val="minMax"/>
        </c:scaling>
        <c:delete val="0"/>
        <c:axPos val="l"/>
        <c:numFmt formatCode="0.0" sourceLinked="1"/>
        <c:majorTickMark val="out"/>
        <c:minorTickMark val="none"/>
        <c:tickLblPos val="nextTo"/>
        <c:crossAx val="212025728"/>
        <c:crosses val="autoZero"/>
        <c:crossBetween val="between"/>
      </c:valAx>
    </c:plotArea>
    <c:legend>
      <c:legendPos val="r"/>
      <c:layout>
        <c:manualLayout>
          <c:xMode val="edge"/>
          <c:yMode val="edge"/>
          <c:x val="0.91136142555014055"/>
          <c:y val="0.11305719597550305"/>
          <c:w val="7.6346011450474038E-2"/>
          <c:h val="0.86399004811898517"/>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dLbls>
            <c:dLbl>
              <c:idx val="0"/>
              <c:tx>
                <c:rich>
                  <a:bodyPr/>
                  <a:lstStyle/>
                  <a:p>
                    <a:r>
                      <a:rPr lang="pl-PL"/>
                      <a:t>EU</a:t>
                    </a:r>
                  </a:p>
                </c:rich>
              </c:tx>
              <c:showLegendKey val="0"/>
              <c:showVal val="0"/>
              <c:showCatName val="0"/>
              <c:showSerName val="1"/>
              <c:showPercent val="0"/>
              <c:showBubbleSize val="0"/>
            </c:dLbl>
            <c:dLbl>
              <c:idx val="1"/>
              <c:tx>
                <c:rich>
                  <a:bodyPr/>
                  <a:lstStyle/>
                  <a:p>
                    <a:r>
                      <a:rPr lang="pl-PL"/>
                      <a:t>EZ</a:t>
                    </a:r>
                  </a:p>
                </c:rich>
              </c:tx>
              <c:showLegendKey val="0"/>
              <c:showVal val="0"/>
              <c:showCatName val="0"/>
              <c:showSerName val="1"/>
              <c:showPercent val="0"/>
              <c:showBubbleSize val="0"/>
            </c:dLbl>
            <c:dLbl>
              <c:idx val="2"/>
              <c:tx>
                <c:rich>
                  <a:bodyPr/>
                  <a:lstStyle/>
                  <a:p>
                    <a:r>
                      <a:rPr lang="pl-PL"/>
                      <a:t>BE</a:t>
                    </a:r>
                  </a:p>
                </c:rich>
              </c:tx>
              <c:showLegendKey val="0"/>
              <c:showVal val="0"/>
              <c:showCatName val="0"/>
              <c:showSerName val="1"/>
              <c:showPercent val="0"/>
              <c:showBubbleSize val="0"/>
            </c:dLbl>
            <c:dLbl>
              <c:idx val="3"/>
              <c:tx>
                <c:rich>
                  <a:bodyPr/>
                  <a:lstStyle/>
                  <a:p>
                    <a:r>
                      <a:rPr lang="pl-PL"/>
                      <a:t>CZK</a:t>
                    </a:r>
                  </a:p>
                </c:rich>
              </c:tx>
              <c:showLegendKey val="0"/>
              <c:showVal val="0"/>
              <c:showCatName val="0"/>
              <c:showSerName val="1"/>
              <c:showPercent val="0"/>
              <c:showBubbleSize val="0"/>
            </c:dLbl>
            <c:dLbl>
              <c:idx val="4"/>
              <c:tx>
                <c:rich>
                  <a:bodyPr/>
                  <a:lstStyle/>
                  <a:p>
                    <a:r>
                      <a:rPr lang="pl-PL"/>
                      <a:t>DKK</a:t>
                    </a:r>
                  </a:p>
                </c:rich>
              </c:tx>
              <c:showLegendKey val="0"/>
              <c:showVal val="0"/>
              <c:showCatName val="0"/>
              <c:showSerName val="1"/>
              <c:showPercent val="0"/>
              <c:showBubbleSize val="0"/>
            </c:dLbl>
            <c:dLbl>
              <c:idx val="5"/>
              <c:tx>
                <c:rich>
                  <a:bodyPr/>
                  <a:lstStyle/>
                  <a:p>
                    <a:r>
                      <a:rPr lang="pl-PL"/>
                      <a:t>GER</a:t>
                    </a:r>
                  </a:p>
                </c:rich>
              </c:tx>
              <c:showLegendKey val="0"/>
              <c:showVal val="0"/>
              <c:showCatName val="0"/>
              <c:showSerName val="1"/>
              <c:showPercent val="0"/>
              <c:showBubbleSize val="0"/>
            </c:dLbl>
            <c:dLbl>
              <c:idx val="6"/>
              <c:tx>
                <c:rich>
                  <a:bodyPr/>
                  <a:lstStyle/>
                  <a:p>
                    <a:r>
                      <a:rPr lang="pl-PL"/>
                      <a:t>IRL</a:t>
                    </a:r>
                  </a:p>
                </c:rich>
              </c:tx>
              <c:showLegendKey val="0"/>
              <c:showVal val="0"/>
              <c:showCatName val="0"/>
              <c:showSerName val="1"/>
              <c:showPercent val="0"/>
              <c:showBubbleSize val="0"/>
            </c:dLbl>
            <c:dLbl>
              <c:idx val="7"/>
              <c:tx>
                <c:rich>
                  <a:bodyPr/>
                  <a:lstStyle/>
                  <a:p>
                    <a:r>
                      <a:rPr lang="pl-PL"/>
                      <a:t>GRE</a:t>
                    </a:r>
                  </a:p>
                </c:rich>
              </c:tx>
              <c:showLegendKey val="0"/>
              <c:showVal val="0"/>
              <c:showCatName val="0"/>
              <c:showSerName val="1"/>
              <c:showPercent val="0"/>
              <c:showBubbleSize val="0"/>
            </c:dLbl>
            <c:dLbl>
              <c:idx val="8"/>
              <c:tx>
                <c:rich>
                  <a:bodyPr/>
                  <a:lstStyle/>
                  <a:p>
                    <a:r>
                      <a:rPr lang="pl-PL"/>
                      <a:t>ESP</a:t>
                    </a:r>
                  </a:p>
                </c:rich>
              </c:tx>
              <c:showLegendKey val="0"/>
              <c:showVal val="0"/>
              <c:showCatName val="0"/>
              <c:showSerName val="1"/>
              <c:showPercent val="0"/>
              <c:showBubbleSize val="0"/>
            </c:dLbl>
            <c:dLbl>
              <c:idx val="9"/>
              <c:tx>
                <c:rich>
                  <a:bodyPr/>
                  <a:lstStyle/>
                  <a:p>
                    <a:r>
                      <a:rPr lang="pl-PL"/>
                      <a:t>FRA</a:t>
                    </a:r>
                  </a:p>
                </c:rich>
              </c:tx>
              <c:showLegendKey val="0"/>
              <c:showVal val="0"/>
              <c:showCatName val="0"/>
              <c:showSerName val="1"/>
              <c:showPercent val="0"/>
              <c:showBubbleSize val="0"/>
            </c:dLbl>
            <c:dLbl>
              <c:idx val="10"/>
              <c:tx>
                <c:rich>
                  <a:bodyPr/>
                  <a:lstStyle/>
                  <a:p>
                    <a:r>
                      <a:rPr lang="pl-PL"/>
                      <a:t>CRO</a:t>
                    </a:r>
                  </a:p>
                </c:rich>
              </c:tx>
              <c:showLegendKey val="0"/>
              <c:showVal val="0"/>
              <c:showCatName val="0"/>
              <c:showSerName val="1"/>
              <c:showPercent val="0"/>
              <c:showBubbleSize val="0"/>
            </c:dLbl>
            <c:dLbl>
              <c:idx val="11"/>
              <c:tx>
                <c:rich>
                  <a:bodyPr/>
                  <a:lstStyle/>
                  <a:p>
                    <a:r>
                      <a:rPr lang="pl-PL"/>
                      <a:t>ITA</a:t>
                    </a:r>
                  </a:p>
                </c:rich>
              </c:tx>
              <c:showLegendKey val="0"/>
              <c:showVal val="0"/>
              <c:showCatName val="0"/>
              <c:showSerName val="1"/>
              <c:showPercent val="0"/>
              <c:showBubbleSize val="0"/>
            </c:dLbl>
            <c:dLbl>
              <c:idx val="12"/>
              <c:tx>
                <c:rich>
                  <a:bodyPr/>
                  <a:lstStyle/>
                  <a:p>
                    <a:r>
                      <a:rPr lang="pl-PL"/>
                      <a:t>CYP</a:t>
                    </a:r>
                  </a:p>
                </c:rich>
              </c:tx>
              <c:showLegendKey val="0"/>
              <c:showVal val="0"/>
              <c:showCatName val="0"/>
              <c:showSerName val="1"/>
              <c:showPercent val="0"/>
              <c:showBubbleSize val="0"/>
            </c:dLbl>
            <c:dLbl>
              <c:idx val="13"/>
              <c:tx>
                <c:rich>
                  <a:bodyPr/>
                  <a:lstStyle/>
                  <a:p>
                    <a:r>
                      <a:rPr lang="pl-PL"/>
                      <a:t>LIT</a:t>
                    </a:r>
                  </a:p>
                </c:rich>
              </c:tx>
              <c:showLegendKey val="0"/>
              <c:showVal val="0"/>
              <c:showCatName val="0"/>
              <c:showSerName val="1"/>
              <c:showPercent val="0"/>
              <c:showBubbleSize val="0"/>
            </c:dLbl>
            <c:dLbl>
              <c:idx val="14"/>
              <c:tx>
                <c:rich>
                  <a:bodyPr/>
                  <a:lstStyle/>
                  <a:p>
                    <a:r>
                      <a:rPr lang="pl-PL"/>
                      <a:t>LUX</a:t>
                    </a:r>
                  </a:p>
                </c:rich>
              </c:tx>
              <c:showLegendKey val="0"/>
              <c:showVal val="0"/>
              <c:showCatName val="0"/>
              <c:showSerName val="1"/>
              <c:showPercent val="0"/>
              <c:showBubbleSize val="0"/>
            </c:dLbl>
            <c:dLbl>
              <c:idx val="15"/>
              <c:tx>
                <c:rich>
                  <a:bodyPr/>
                  <a:lstStyle/>
                  <a:p>
                    <a:r>
                      <a:rPr lang="pl-PL"/>
                      <a:t>HUF</a:t>
                    </a:r>
                  </a:p>
                </c:rich>
              </c:tx>
              <c:showLegendKey val="0"/>
              <c:showVal val="0"/>
              <c:showCatName val="0"/>
              <c:showSerName val="1"/>
              <c:showPercent val="0"/>
              <c:showBubbleSize val="0"/>
            </c:dLbl>
            <c:dLbl>
              <c:idx val="16"/>
              <c:tx>
                <c:rich>
                  <a:bodyPr/>
                  <a:lstStyle/>
                  <a:p>
                    <a:r>
                      <a:rPr lang="pl-PL"/>
                      <a:t>HOL</a:t>
                    </a:r>
                  </a:p>
                </c:rich>
              </c:tx>
              <c:showLegendKey val="0"/>
              <c:showVal val="0"/>
              <c:showCatName val="0"/>
              <c:showSerName val="1"/>
              <c:showPercent val="0"/>
              <c:showBubbleSize val="0"/>
            </c:dLbl>
            <c:dLbl>
              <c:idx val="17"/>
              <c:tx>
                <c:rich>
                  <a:bodyPr/>
                  <a:lstStyle/>
                  <a:p>
                    <a:r>
                      <a:rPr lang="pl-PL"/>
                      <a:t>AUS</a:t>
                    </a:r>
                  </a:p>
                </c:rich>
              </c:tx>
              <c:showLegendKey val="0"/>
              <c:showVal val="0"/>
              <c:showCatName val="0"/>
              <c:showSerName val="1"/>
              <c:showPercent val="0"/>
              <c:showBubbleSize val="0"/>
            </c:dLbl>
            <c:dLbl>
              <c:idx val="18"/>
              <c:tx>
                <c:rich>
                  <a:bodyPr/>
                  <a:lstStyle/>
                  <a:p>
                    <a:r>
                      <a:rPr lang="pl-PL"/>
                      <a:t>POL</a:t>
                    </a:r>
                  </a:p>
                </c:rich>
              </c:tx>
              <c:showLegendKey val="0"/>
              <c:showVal val="0"/>
              <c:showCatName val="0"/>
              <c:showSerName val="1"/>
              <c:showPercent val="0"/>
              <c:showBubbleSize val="0"/>
            </c:dLbl>
            <c:dLbl>
              <c:idx val="19"/>
              <c:tx>
                <c:rich>
                  <a:bodyPr/>
                  <a:lstStyle/>
                  <a:p>
                    <a:r>
                      <a:rPr lang="pl-PL"/>
                      <a:t>POR</a:t>
                    </a:r>
                  </a:p>
                </c:rich>
              </c:tx>
              <c:showLegendKey val="0"/>
              <c:showVal val="0"/>
              <c:showCatName val="0"/>
              <c:showSerName val="1"/>
              <c:showPercent val="0"/>
              <c:showBubbleSize val="0"/>
            </c:dLbl>
            <c:dLbl>
              <c:idx val="20"/>
              <c:tx>
                <c:rich>
                  <a:bodyPr/>
                  <a:lstStyle/>
                  <a:p>
                    <a:r>
                      <a:rPr lang="pl-PL"/>
                      <a:t>RON</a:t>
                    </a:r>
                  </a:p>
                </c:rich>
              </c:tx>
              <c:showLegendKey val="0"/>
              <c:showVal val="0"/>
              <c:showCatName val="0"/>
              <c:showSerName val="1"/>
              <c:showPercent val="0"/>
              <c:showBubbleSize val="0"/>
            </c:dLbl>
            <c:dLbl>
              <c:idx val="21"/>
              <c:tx>
                <c:rich>
                  <a:bodyPr/>
                  <a:lstStyle/>
                  <a:p>
                    <a:r>
                      <a:rPr lang="pl-PL"/>
                      <a:t>SLO</a:t>
                    </a:r>
                  </a:p>
                </c:rich>
              </c:tx>
              <c:showLegendKey val="0"/>
              <c:showVal val="0"/>
              <c:showCatName val="0"/>
              <c:showSerName val="1"/>
              <c:showPercent val="0"/>
              <c:showBubbleSize val="0"/>
            </c:dLbl>
            <c:showLegendKey val="0"/>
            <c:showVal val="0"/>
            <c:showCatName val="0"/>
            <c:showSerName val="0"/>
            <c:showPercent val="0"/>
            <c:showBubbleSize val="0"/>
          </c:dLbls>
          <c:xVal>
            <c:numRef>
              <c:f>Arkusz1!$B$2:$B$23</c:f>
              <c:numCache>
                <c:formatCode>#,##0.00</c:formatCode>
                <c:ptCount val="22"/>
                <c:pt idx="0">
                  <c:v>2.93</c:v>
                </c:pt>
                <c:pt idx="1">
                  <c:v>2.84</c:v>
                </c:pt>
                <c:pt idx="2">
                  <c:v>2.4500000000000002</c:v>
                </c:pt>
                <c:pt idx="3">
                  <c:v>2.4300000000000002</c:v>
                </c:pt>
                <c:pt idx="4">
                  <c:v>1.86</c:v>
                </c:pt>
                <c:pt idx="5">
                  <c:v>1.76</c:v>
                </c:pt>
                <c:pt idx="6">
                  <c:v>3.39</c:v>
                </c:pt>
                <c:pt idx="7">
                  <c:v>8.18</c:v>
                </c:pt>
                <c:pt idx="8">
                  <c:v>3.79</c:v>
                </c:pt>
                <c:pt idx="9">
                  <c:v>2.38</c:v>
                </c:pt>
                <c:pt idx="10">
                  <c:v>5.1100000000000003</c:v>
                </c:pt>
                <c:pt idx="11">
                  <c:v>3.87</c:v>
                </c:pt>
                <c:pt idx="12">
                  <c:v>6</c:v>
                </c:pt>
                <c:pt idx="13">
                  <c:v>3.42</c:v>
                </c:pt>
                <c:pt idx="14">
                  <c:v>1.83</c:v>
                </c:pt>
                <c:pt idx="15">
                  <c:v>5.6</c:v>
                </c:pt>
                <c:pt idx="16">
                  <c:v>2.09</c:v>
                </c:pt>
                <c:pt idx="17">
                  <c:v>2.13</c:v>
                </c:pt>
                <c:pt idx="18">
                  <c:v>4.42</c:v>
                </c:pt>
                <c:pt idx="19">
                  <c:v>5.21</c:v>
                </c:pt>
                <c:pt idx="20">
                  <c:v>5.22</c:v>
                </c:pt>
                <c:pt idx="21">
                  <c:v>4.7300000000000004</c:v>
                </c:pt>
              </c:numCache>
            </c:numRef>
          </c:xVal>
          <c:yVal>
            <c:numRef>
              <c:f>Arkusz1!$D$2:$D$23</c:f>
              <c:numCache>
                <c:formatCode>#,##0.0</c:formatCode>
                <c:ptCount val="22"/>
                <c:pt idx="0">
                  <c:v>0.9</c:v>
                </c:pt>
                <c:pt idx="1">
                  <c:v>0.8</c:v>
                </c:pt>
                <c:pt idx="2">
                  <c:v>1.1000000000000001</c:v>
                </c:pt>
                <c:pt idx="3">
                  <c:v>0.3</c:v>
                </c:pt>
                <c:pt idx="4">
                  <c:v>0.8</c:v>
                </c:pt>
                <c:pt idx="5">
                  <c:v>1.2</c:v>
                </c:pt>
                <c:pt idx="6">
                  <c:v>0.3</c:v>
                </c:pt>
                <c:pt idx="7">
                  <c:v>-1.4</c:v>
                </c:pt>
                <c:pt idx="8">
                  <c:v>0.3</c:v>
                </c:pt>
                <c:pt idx="9">
                  <c:v>0.8</c:v>
                </c:pt>
                <c:pt idx="10">
                  <c:v>0.4</c:v>
                </c:pt>
                <c:pt idx="11">
                  <c:v>0.6</c:v>
                </c:pt>
                <c:pt idx="12">
                  <c:v>-1.6</c:v>
                </c:pt>
                <c:pt idx="13">
                  <c:v>0.2</c:v>
                </c:pt>
                <c:pt idx="14">
                  <c:v>1.5</c:v>
                </c:pt>
                <c:pt idx="15">
                  <c:v>0.8</c:v>
                </c:pt>
                <c:pt idx="16">
                  <c:v>0.8</c:v>
                </c:pt>
                <c:pt idx="17">
                  <c:v>1.5</c:v>
                </c:pt>
                <c:pt idx="18">
                  <c:v>0.6</c:v>
                </c:pt>
                <c:pt idx="19">
                  <c:v>0.1</c:v>
                </c:pt>
                <c:pt idx="20">
                  <c:v>1.2</c:v>
                </c:pt>
                <c:pt idx="21">
                  <c:v>0.9</c:v>
                </c:pt>
              </c:numCache>
            </c:numRef>
          </c:yVal>
          <c:smooth val="0"/>
        </c:ser>
        <c:dLbls>
          <c:showLegendKey val="0"/>
          <c:showVal val="0"/>
          <c:showCatName val="0"/>
          <c:showSerName val="0"/>
          <c:showPercent val="0"/>
          <c:showBubbleSize val="0"/>
        </c:dLbls>
        <c:axId val="212069760"/>
        <c:axId val="211489920"/>
      </c:scatterChart>
      <c:valAx>
        <c:axId val="212069760"/>
        <c:scaling>
          <c:orientation val="minMax"/>
          <c:min val="-3"/>
        </c:scaling>
        <c:delete val="0"/>
        <c:axPos val="b"/>
        <c:numFmt formatCode="#,##0.00" sourceLinked="1"/>
        <c:majorTickMark val="out"/>
        <c:minorTickMark val="none"/>
        <c:tickLblPos val="nextTo"/>
        <c:crossAx val="211489920"/>
        <c:crosses val="autoZero"/>
        <c:crossBetween val="midCat"/>
      </c:valAx>
      <c:valAx>
        <c:axId val="211489920"/>
        <c:scaling>
          <c:orientation val="minMax"/>
          <c:min val="-7"/>
        </c:scaling>
        <c:delete val="0"/>
        <c:axPos val="l"/>
        <c:numFmt formatCode="#,##0.0" sourceLinked="1"/>
        <c:majorTickMark val="out"/>
        <c:minorTickMark val="none"/>
        <c:tickLblPos val="nextTo"/>
        <c:crossAx val="212069760"/>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dLbls>
            <c:dLbl>
              <c:idx val="0"/>
              <c:tx>
                <c:rich>
                  <a:bodyPr/>
                  <a:lstStyle/>
                  <a:p>
                    <a:r>
                      <a:rPr lang="pl-PL"/>
                      <a:t>EU</a:t>
                    </a:r>
                  </a:p>
                </c:rich>
              </c:tx>
              <c:showLegendKey val="0"/>
              <c:showVal val="0"/>
              <c:showCatName val="0"/>
              <c:showSerName val="1"/>
              <c:showPercent val="0"/>
              <c:showBubbleSize val="0"/>
            </c:dLbl>
            <c:dLbl>
              <c:idx val="1"/>
              <c:tx>
                <c:rich>
                  <a:bodyPr/>
                  <a:lstStyle/>
                  <a:p>
                    <a:r>
                      <a:rPr lang="pl-PL"/>
                      <a:t>EZ</a:t>
                    </a:r>
                  </a:p>
                </c:rich>
              </c:tx>
              <c:showLegendKey val="0"/>
              <c:showVal val="0"/>
              <c:showCatName val="0"/>
              <c:showSerName val="1"/>
              <c:showPercent val="0"/>
              <c:showBubbleSize val="0"/>
            </c:dLbl>
            <c:dLbl>
              <c:idx val="2"/>
              <c:tx>
                <c:rich>
                  <a:bodyPr/>
                  <a:lstStyle/>
                  <a:p>
                    <a:r>
                      <a:rPr lang="pl-PL"/>
                      <a:t>BE</a:t>
                    </a:r>
                  </a:p>
                </c:rich>
              </c:tx>
              <c:showLegendKey val="0"/>
              <c:showVal val="0"/>
              <c:showCatName val="0"/>
              <c:showSerName val="1"/>
              <c:showPercent val="0"/>
              <c:showBubbleSize val="0"/>
            </c:dLbl>
            <c:dLbl>
              <c:idx val="3"/>
              <c:tx>
                <c:rich>
                  <a:bodyPr/>
                  <a:lstStyle/>
                  <a:p>
                    <a:r>
                      <a:rPr lang="pl-PL"/>
                      <a:t>CZK</a:t>
                    </a:r>
                  </a:p>
                </c:rich>
              </c:tx>
              <c:showLegendKey val="0"/>
              <c:showVal val="0"/>
              <c:showCatName val="0"/>
              <c:showSerName val="1"/>
              <c:showPercent val="0"/>
              <c:showBubbleSize val="0"/>
            </c:dLbl>
            <c:dLbl>
              <c:idx val="4"/>
              <c:tx>
                <c:rich>
                  <a:bodyPr/>
                  <a:lstStyle/>
                  <a:p>
                    <a:r>
                      <a:rPr lang="pl-PL"/>
                      <a:t>DKK</a:t>
                    </a:r>
                  </a:p>
                </c:rich>
              </c:tx>
              <c:showLegendKey val="0"/>
              <c:showVal val="0"/>
              <c:showCatName val="0"/>
              <c:showSerName val="1"/>
              <c:showPercent val="0"/>
              <c:showBubbleSize val="0"/>
            </c:dLbl>
            <c:dLbl>
              <c:idx val="5"/>
              <c:tx>
                <c:rich>
                  <a:bodyPr/>
                  <a:lstStyle/>
                  <a:p>
                    <a:r>
                      <a:rPr lang="pl-PL"/>
                      <a:t>GER</a:t>
                    </a:r>
                  </a:p>
                </c:rich>
              </c:tx>
              <c:showLegendKey val="0"/>
              <c:showVal val="0"/>
              <c:showCatName val="0"/>
              <c:showSerName val="1"/>
              <c:showPercent val="0"/>
              <c:showBubbleSize val="0"/>
            </c:dLbl>
            <c:dLbl>
              <c:idx val="6"/>
              <c:tx>
                <c:rich>
                  <a:bodyPr/>
                  <a:lstStyle/>
                  <a:p>
                    <a:r>
                      <a:rPr lang="pl-PL"/>
                      <a:t>IRL</a:t>
                    </a:r>
                  </a:p>
                </c:rich>
              </c:tx>
              <c:showLegendKey val="0"/>
              <c:showVal val="0"/>
              <c:showCatName val="0"/>
              <c:showSerName val="1"/>
              <c:showPercent val="0"/>
              <c:showBubbleSize val="0"/>
            </c:dLbl>
            <c:dLbl>
              <c:idx val="7"/>
              <c:tx>
                <c:rich>
                  <a:bodyPr/>
                  <a:lstStyle/>
                  <a:p>
                    <a:r>
                      <a:rPr lang="pl-PL"/>
                      <a:t>GRE</a:t>
                    </a:r>
                  </a:p>
                </c:rich>
              </c:tx>
              <c:showLegendKey val="0"/>
              <c:showVal val="0"/>
              <c:showCatName val="0"/>
              <c:showSerName val="1"/>
              <c:showPercent val="0"/>
              <c:showBubbleSize val="0"/>
            </c:dLbl>
            <c:dLbl>
              <c:idx val="8"/>
              <c:tx>
                <c:rich>
                  <a:bodyPr/>
                  <a:lstStyle/>
                  <a:p>
                    <a:r>
                      <a:rPr lang="pl-PL"/>
                      <a:t>ESP</a:t>
                    </a:r>
                  </a:p>
                </c:rich>
              </c:tx>
              <c:showLegendKey val="0"/>
              <c:showVal val="0"/>
              <c:showCatName val="0"/>
              <c:showSerName val="1"/>
              <c:showPercent val="0"/>
              <c:showBubbleSize val="0"/>
            </c:dLbl>
            <c:dLbl>
              <c:idx val="9"/>
              <c:tx>
                <c:rich>
                  <a:bodyPr/>
                  <a:lstStyle/>
                  <a:p>
                    <a:r>
                      <a:rPr lang="pl-PL"/>
                      <a:t>FRA</a:t>
                    </a:r>
                  </a:p>
                </c:rich>
              </c:tx>
              <c:showLegendKey val="0"/>
              <c:showVal val="0"/>
              <c:showCatName val="0"/>
              <c:showSerName val="1"/>
              <c:showPercent val="0"/>
              <c:showBubbleSize val="0"/>
            </c:dLbl>
            <c:dLbl>
              <c:idx val="10"/>
              <c:tx>
                <c:rich>
                  <a:bodyPr/>
                  <a:lstStyle/>
                  <a:p>
                    <a:r>
                      <a:rPr lang="pl-PL"/>
                      <a:t>CRO</a:t>
                    </a:r>
                  </a:p>
                </c:rich>
              </c:tx>
              <c:showLegendKey val="0"/>
              <c:showVal val="0"/>
              <c:showCatName val="0"/>
              <c:showSerName val="1"/>
              <c:showPercent val="0"/>
              <c:showBubbleSize val="0"/>
            </c:dLbl>
            <c:dLbl>
              <c:idx val="11"/>
              <c:tx>
                <c:rich>
                  <a:bodyPr/>
                  <a:lstStyle/>
                  <a:p>
                    <a:r>
                      <a:rPr lang="pl-PL"/>
                      <a:t>ITA</a:t>
                    </a:r>
                  </a:p>
                </c:rich>
              </c:tx>
              <c:showLegendKey val="0"/>
              <c:showVal val="0"/>
              <c:showCatName val="0"/>
              <c:showSerName val="1"/>
              <c:showPercent val="0"/>
              <c:showBubbleSize val="0"/>
            </c:dLbl>
            <c:dLbl>
              <c:idx val="12"/>
              <c:tx>
                <c:rich>
                  <a:bodyPr/>
                  <a:lstStyle/>
                  <a:p>
                    <a:r>
                      <a:rPr lang="pl-PL"/>
                      <a:t>CYP</a:t>
                    </a:r>
                  </a:p>
                </c:rich>
              </c:tx>
              <c:showLegendKey val="0"/>
              <c:showVal val="0"/>
              <c:showCatName val="0"/>
              <c:showSerName val="1"/>
              <c:showPercent val="0"/>
              <c:showBubbleSize val="0"/>
            </c:dLbl>
            <c:dLbl>
              <c:idx val="13"/>
              <c:tx>
                <c:rich>
                  <a:bodyPr/>
                  <a:lstStyle/>
                  <a:p>
                    <a:r>
                      <a:rPr lang="pl-PL"/>
                      <a:t>LIT</a:t>
                    </a:r>
                  </a:p>
                </c:rich>
              </c:tx>
              <c:showLegendKey val="0"/>
              <c:showVal val="0"/>
              <c:showCatName val="0"/>
              <c:showSerName val="1"/>
              <c:showPercent val="0"/>
              <c:showBubbleSize val="0"/>
            </c:dLbl>
            <c:dLbl>
              <c:idx val="14"/>
              <c:tx>
                <c:rich>
                  <a:bodyPr/>
                  <a:lstStyle/>
                  <a:p>
                    <a:r>
                      <a:rPr lang="pl-PL"/>
                      <a:t>LUX</a:t>
                    </a:r>
                  </a:p>
                </c:rich>
              </c:tx>
              <c:showLegendKey val="0"/>
              <c:showVal val="0"/>
              <c:showCatName val="0"/>
              <c:showSerName val="1"/>
              <c:showPercent val="0"/>
              <c:showBubbleSize val="0"/>
            </c:dLbl>
            <c:dLbl>
              <c:idx val="15"/>
              <c:tx>
                <c:rich>
                  <a:bodyPr/>
                  <a:lstStyle/>
                  <a:p>
                    <a:r>
                      <a:rPr lang="pl-PL"/>
                      <a:t>HUF</a:t>
                    </a:r>
                  </a:p>
                </c:rich>
              </c:tx>
              <c:showLegendKey val="0"/>
              <c:showVal val="0"/>
              <c:showCatName val="0"/>
              <c:showSerName val="1"/>
              <c:showPercent val="0"/>
              <c:showBubbleSize val="0"/>
            </c:dLbl>
            <c:dLbl>
              <c:idx val="16"/>
              <c:tx>
                <c:rich>
                  <a:bodyPr/>
                  <a:lstStyle/>
                  <a:p>
                    <a:r>
                      <a:rPr lang="pl-PL"/>
                      <a:t>HOL</a:t>
                    </a:r>
                  </a:p>
                </c:rich>
              </c:tx>
              <c:showLegendKey val="0"/>
              <c:showVal val="0"/>
              <c:showCatName val="0"/>
              <c:showSerName val="1"/>
              <c:showPercent val="0"/>
              <c:showBubbleSize val="0"/>
            </c:dLbl>
            <c:dLbl>
              <c:idx val="17"/>
              <c:tx>
                <c:rich>
                  <a:bodyPr/>
                  <a:lstStyle/>
                  <a:p>
                    <a:r>
                      <a:rPr lang="pl-PL"/>
                      <a:t>AUS</a:t>
                    </a:r>
                  </a:p>
                </c:rich>
              </c:tx>
              <c:showLegendKey val="0"/>
              <c:showVal val="0"/>
              <c:showCatName val="0"/>
              <c:showSerName val="1"/>
              <c:showPercent val="0"/>
              <c:showBubbleSize val="0"/>
            </c:dLbl>
            <c:dLbl>
              <c:idx val="18"/>
              <c:tx>
                <c:rich>
                  <a:bodyPr/>
                  <a:lstStyle/>
                  <a:p>
                    <a:r>
                      <a:rPr lang="pl-PL"/>
                      <a:t>POL</a:t>
                    </a:r>
                  </a:p>
                </c:rich>
              </c:tx>
              <c:showLegendKey val="0"/>
              <c:showVal val="0"/>
              <c:showCatName val="0"/>
              <c:showSerName val="1"/>
              <c:showPercent val="0"/>
              <c:showBubbleSize val="0"/>
            </c:dLbl>
            <c:dLbl>
              <c:idx val="19"/>
              <c:tx>
                <c:rich>
                  <a:bodyPr/>
                  <a:lstStyle/>
                  <a:p>
                    <a:r>
                      <a:rPr lang="pl-PL"/>
                      <a:t>POR</a:t>
                    </a:r>
                  </a:p>
                </c:rich>
              </c:tx>
              <c:showLegendKey val="0"/>
              <c:showVal val="0"/>
              <c:showCatName val="0"/>
              <c:showSerName val="1"/>
              <c:showPercent val="0"/>
              <c:showBubbleSize val="0"/>
            </c:dLbl>
            <c:dLbl>
              <c:idx val="20"/>
              <c:tx>
                <c:rich>
                  <a:bodyPr/>
                  <a:lstStyle/>
                  <a:p>
                    <a:r>
                      <a:rPr lang="pl-PL"/>
                      <a:t>RON</a:t>
                    </a:r>
                  </a:p>
                </c:rich>
              </c:tx>
              <c:showLegendKey val="0"/>
              <c:showVal val="0"/>
              <c:showCatName val="0"/>
              <c:showSerName val="1"/>
              <c:showPercent val="0"/>
              <c:showBubbleSize val="0"/>
            </c:dLbl>
            <c:dLbl>
              <c:idx val="21"/>
              <c:tx>
                <c:rich>
                  <a:bodyPr/>
                  <a:lstStyle/>
                  <a:p>
                    <a:r>
                      <a:rPr lang="pl-PL"/>
                      <a:t>SLO</a:t>
                    </a:r>
                  </a:p>
                </c:rich>
              </c:tx>
              <c:showLegendKey val="0"/>
              <c:showVal val="0"/>
              <c:showCatName val="0"/>
              <c:showSerName val="1"/>
              <c:showPercent val="0"/>
              <c:showBubbleSize val="0"/>
            </c:dLbl>
            <c:showLegendKey val="0"/>
            <c:showVal val="0"/>
            <c:showCatName val="0"/>
            <c:showSerName val="0"/>
            <c:showPercent val="0"/>
            <c:showBubbleSize val="0"/>
          </c:dLbls>
          <c:xVal>
            <c:numRef>
              <c:f>Arkusz1!$B$2:$B$23</c:f>
              <c:numCache>
                <c:formatCode>#,##0.00</c:formatCode>
                <c:ptCount val="22"/>
                <c:pt idx="0">
                  <c:v>2.93</c:v>
                </c:pt>
                <c:pt idx="1">
                  <c:v>2.84</c:v>
                </c:pt>
                <c:pt idx="2">
                  <c:v>2.4500000000000002</c:v>
                </c:pt>
                <c:pt idx="3">
                  <c:v>2.4300000000000002</c:v>
                </c:pt>
                <c:pt idx="4">
                  <c:v>1.86</c:v>
                </c:pt>
                <c:pt idx="5">
                  <c:v>1.76</c:v>
                </c:pt>
                <c:pt idx="6">
                  <c:v>3.39</c:v>
                </c:pt>
                <c:pt idx="7">
                  <c:v>8.18</c:v>
                </c:pt>
                <c:pt idx="8">
                  <c:v>3.79</c:v>
                </c:pt>
                <c:pt idx="9">
                  <c:v>2.38</c:v>
                </c:pt>
                <c:pt idx="10">
                  <c:v>5.1100000000000003</c:v>
                </c:pt>
                <c:pt idx="11">
                  <c:v>3.87</c:v>
                </c:pt>
                <c:pt idx="12">
                  <c:v>6</c:v>
                </c:pt>
                <c:pt idx="13">
                  <c:v>3.42</c:v>
                </c:pt>
                <c:pt idx="14">
                  <c:v>1.83</c:v>
                </c:pt>
                <c:pt idx="15">
                  <c:v>5.6</c:v>
                </c:pt>
                <c:pt idx="16">
                  <c:v>2.09</c:v>
                </c:pt>
                <c:pt idx="17">
                  <c:v>2.13</c:v>
                </c:pt>
                <c:pt idx="18">
                  <c:v>4.42</c:v>
                </c:pt>
                <c:pt idx="19">
                  <c:v>5.21</c:v>
                </c:pt>
                <c:pt idx="20">
                  <c:v>5.22</c:v>
                </c:pt>
                <c:pt idx="21">
                  <c:v>4.7300000000000004</c:v>
                </c:pt>
              </c:numCache>
            </c:numRef>
          </c:xVal>
          <c:yVal>
            <c:numRef>
              <c:f>Arkusz1!$D$2:$D$23</c:f>
              <c:numCache>
                <c:formatCode>#,##0.0</c:formatCode>
                <c:ptCount val="22"/>
                <c:pt idx="0">
                  <c:v>0.9</c:v>
                </c:pt>
                <c:pt idx="1">
                  <c:v>0.8</c:v>
                </c:pt>
                <c:pt idx="2">
                  <c:v>1.1000000000000001</c:v>
                </c:pt>
                <c:pt idx="3">
                  <c:v>0.3</c:v>
                </c:pt>
                <c:pt idx="4">
                  <c:v>0.8</c:v>
                </c:pt>
                <c:pt idx="5">
                  <c:v>1.2</c:v>
                </c:pt>
                <c:pt idx="6">
                  <c:v>0.3</c:v>
                </c:pt>
                <c:pt idx="7">
                  <c:v>-1.4</c:v>
                </c:pt>
                <c:pt idx="8">
                  <c:v>0.3</c:v>
                </c:pt>
                <c:pt idx="9">
                  <c:v>0.8</c:v>
                </c:pt>
                <c:pt idx="10">
                  <c:v>0.4</c:v>
                </c:pt>
                <c:pt idx="11">
                  <c:v>0.6</c:v>
                </c:pt>
                <c:pt idx="12">
                  <c:v>-1.6</c:v>
                </c:pt>
                <c:pt idx="13">
                  <c:v>0.2</c:v>
                </c:pt>
                <c:pt idx="14">
                  <c:v>1.5</c:v>
                </c:pt>
                <c:pt idx="15">
                  <c:v>0.8</c:v>
                </c:pt>
                <c:pt idx="16">
                  <c:v>0.8</c:v>
                </c:pt>
                <c:pt idx="17">
                  <c:v>1.5</c:v>
                </c:pt>
                <c:pt idx="18">
                  <c:v>0.6</c:v>
                </c:pt>
                <c:pt idx="19">
                  <c:v>0.1</c:v>
                </c:pt>
                <c:pt idx="20">
                  <c:v>1.2</c:v>
                </c:pt>
                <c:pt idx="21">
                  <c:v>0.9</c:v>
                </c:pt>
              </c:numCache>
            </c:numRef>
          </c:yVal>
          <c:smooth val="0"/>
        </c:ser>
        <c:dLbls>
          <c:showLegendKey val="0"/>
          <c:showVal val="0"/>
          <c:showCatName val="0"/>
          <c:showSerName val="0"/>
          <c:showPercent val="0"/>
          <c:showBubbleSize val="0"/>
        </c:dLbls>
        <c:axId val="211539456"/>
        <c:axId val="211540992"/>
      </c:scatterChart>
      <c:valAx>
        <c:axId val="211539456"/>
        <c:scaling>
          <c:orientation val="minMax"/>
        </c:scaling>
        <c:delete val="0"/>
        <c:axPos val="b"/>
        <c:numFmt formatCode="#,##0.00" sourceLinked="1"/>
        <c:majorTickMark val="out"/>
        <c:minorTickMark val="none"/>
        <c:tickLblPos val="nextTo"/>
        <c:crossAx val="211540992"/>
        <c:crosses val="autoZero"/>
        <c:crossBetween val="midCat"/>
      </c:valAx>
      <c:valAx>
        <c:axId val="211540992"/>
        <c:scaling>
          <c:orientation val="minMax"/>
          <c:min val="-2"/>
        </c:scaling>
        <c:delete val="0"/>
        <c:axPos val="l"/>
        <c:numFmt formatCode="#,##0.0" sourceLinked="1"/>
        <c:majorTickMark val="out"/>
        <c:minorTickMark val="none"/>
        <c:tickLblPos val="nextTo"/>
        <c:crossAx val="211539456"/>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dLbls>
            <c:dLbl>
              <c:idx val="0"/>
              <c:tx>
                <c:rich>
                  <a:bodyPr/>
                  <a:lstStyle/>
                  <a:p>
                    <a:r>
                      <a:rPr lang="pl-PL" sz="600"/>
                      <a:t>EU</a:t>
                    </a:r>
                    <a:endParaRPr lang="pl-PL"/>
                  </a:p>
                </c:rich>
              </c:tx>
              <c:showLegendKey val="0"/>
              <c:showVal val="0"/>
              <c:showCatName val="0"/>
              <c:showSerName val="1"/>
              <c:showPercent val="0"/>
              <c:showBubbleSize val="0"/>
            </c:dLbl>
            <c:dLbl>
              <c:idx val="1"/>
              <c:tx>
                <c:rich>
                  <a:bodyPr/>
                  <a:lstStyle/>
                  <a:p>
                    <a:r>
                      <a:rPr lang="pl-PL" sz="600"/>
                      <a:t>EZ</a:t>
                    </a:r>
                    <a:endParaRPr lang="pl-PL"/>
                  </a:p>
                </c:rich>
              </c:tx>
              <c:showLegendKey val="0"/>
              <c:showVal val="0"/>
              <c:showCatName val="0"/>
              <c:showSerName val="1"/>
              <c:showPercent val="0"/>
              <c:showBubbleSize val="0"/>
            </c:dLbl>
            <c:dLbl>
              <c:idx val="2"/>
              <c:tx>
                <c:rich>
                  <a:bodyPr/>
                  <a:lstStyle/>
                  <a:p>
                    <a:r>
                      <a:rPr lang="pl-PL" sz="600"/>
                      <a:t>BE</a:t>
                    </a:r>
                    <a:endParaRPr lang="pl-PL"/>
                  </a:p>
                </c:rich>
              </c:tx>
              <c:showLegendKey val="0"/>
              <c:showVal val="0"/>
              <c:showCatName val="0"/>
              <c:showSerName val="1"/>
              <c:showPercent val="0"/>
              <c:showBubbleSize val="0"/>
            </c:dLbl>
            <c:dLbl>
              <c:idx val="3"/>
              <c:tx>
                <c:rich>
                  <a:bodyPr/>
                  <a:lstStyle/>
                  <a:p>
                    <a:r>
                      <a:rPr lang="pl-PL" sz="600"/>
                      <a:t>CZK</a:t>
                    </a:r>
                    <a:endParaRPr lang="pl-PL"/>
                  </a:p>
                </c:rich>
              </c:tx>
              <c:showLegendKey val="0"/>
              <c:showVal val="0"/>
              <c:showCatName val="0"/>
              <c:showSerName val="1"/>
              <c:showPercent val="0"/>
              <c:showBubbleSize val="0"/>
            </c:dLbl>
            <c:dLbl>
              <c:idx val="4"/>
              <c:tx>
                <c:rich>
                  <a:bodyPr/>
                  <a:lstStyle/>
                  <a:p>
                    <a:r>
                      <a:rPr lang="pl-PL" sz="600"/>
                      <a:t>DKK</a:t>
                    </a:r>
                    <a:endParaRPr lang="pl-PL"/>
                  </a:p>
                </c:rich>
              </c:tx>
              <c:showLegendKey val="0"/>
              <c:showVal val="0"/>
              <c:showCatName val="0"/>
              <c:showSerName val="1"/>
              <c:showPercent val="0"/>
              <c:showBubbleSize val="0"/>
            </c:dLbl>
            <c:dLbl>
              <c:idx val="5"/>
              <c:tx>
                <c:rich>
                  <a:bodyPr/>
                  <a:lstStyle/>
                  <a:p>
                    <a:r>
                      <a:rPr lang="pl-PL" sz="600"/>
                      <a:t>GER</a:t>
                    </a:r>
                    <a:endParaRPr lang="pl-PL"/>
                  </a:p>
                </c:rich>
              </c:tx>
              <c:showLegendKey val="0"/>
              <c:showVal val="0"/>
              <c:showCatName val="0"/>
              <c:showSerName val="1"/>
              <c:showPercent val="0"/>
              <c:showBubbleSize val="0"/>
            </c:dLbl>
            <c:dLbl>
              <c:idx val="6"/>
              <c:tx>
                <c:rich>
                  <a:bodyPr/>
                  <a:lstStyle/>
                  <a:p>
                    <a:r>
                      <a:rPr lang="pl-PL" sz="600"/>
                      <a:t>IRL</a:t>
                    </a:r>
                    <a:endParaRPr lang="pl-PL"/>
                  </a:p>
                </c:rich>
              </c:tx>
              <c:showLegendKey val="0"/>
              <c:showVal val="0"/>
              <c:showCatName val="0"/>
              <c:showSerName val="1"/>
              <c:showPercent val="0"/>
              <c:showBubbleSize val="0"/>
            </c:dLbl>
            <c:dLbl>
              <c:idx val="7"/>
              <c:tx>
                <c:rich>
                  <a:bodyPr/>
                  <a:lstStyle/>
                  <a:p>
                    <a:r>
                      <a:rPr lang="pl-PL" sz="600"/>
                      <a:t>GRE</a:t>
                    </a:r>
                    <a:endParaRPr lang="pl-PL"/>
                  </a:p>
                </c:rich>
              </c:tx>
              <c:showLegendKey val="0"/>
              <c:showVal val="0"/>
              <c:showCatName val="0"/>
              <c:showSerName val="1"/>
              <c:showPercent val="0"/>
              <c:showBubbleSize val="0"/>
            </c:dLbl>
            <c:dLbl>
              <c:idx val="8"/>
              <c:tx>
                <c:rich>
                  <a:bodyPr/>
                  <a:lstStyle/>
                  <a:p>
                    <a:r>
                      <a:rPr lang="pl-PL" sz="600"/>
                      <a:t>ESP</a:t>
                    </a:r>
                    <a:endParaRPr lang="pl-PL"/>
                  </a:p>
                </c:rich>
              </c:tx>
              <c:showLegendKey val="0"/>
              <c:showVal val="0"/>
              <c:showCatName val="0"/>
              <c:showSerName val="1"/>
              <c:showPercent val="0"/>
              <c:showBubbleSize val="0"/>
            </c:dLbl>
            <c:dLbl>
              <c:idx val="9"/>
              <c:tx>
                <c:rich>
                  <a:bodyPr/>
                  <a:lstStyle/>
                  <a:p>
                    <a:r>
                      <a:rPr lang="pl-PL" sz="600"/>
                      <a:t>FRA</a:t>
                    </a:r>
                    <a:endParaRPr lang="pl-PL"/>
                  </a:p>
                </c:rich>
              </c:tx>
              <c:showLegendKey val="0"/>
              <c:showVal val="0"/>
              <c:showCatName val="0"/>
              <c:showSerName val="1"/>
              <c:showPercent val="0"/>
              <c:showBubbleSize val="0"/>
            </c:dLbl>
            <c:dLbl>
              <c:idx val="10"/>
              <c:tx>
                <c:rich>
                  <a:bodyPr/>
                  <a:lstStyle/>
                  <a:p>
                    <a:r>
                      <a:rPr lang="pl-PL" sz="600"/>
                      <a:t>CRO</a:t>
                    </a:r>
                    <a:endParaRPr lang="pl-PL"/>
                  </a:p>
                </c:rich>
              </c:tx>
              <c:showLegendKey val="0"/>
              <c:showVal val="0"/>
              <c:showCatName val="0"/>
              <c:showSerName val="1"/>
              <c:showPercent val="0"/>
              <c:showBubbleSize val="0"/>
            </c:dLbl>
            <c:dLbl>
              <c:idx val="11"/>
              <c:tx>
                <c:rich>
                  <a:bodyPr/>
                  <a:lstStyle/>
                  <a:p>
                    <a:r>
                      <a:rPr lang="pl-PL" sz="600"/>
                      <a:t>ITA</a:t>
                    </a:r>
                    <a:endParaRPr lang="pl-PL"/>
                  </a:p>
                </c:rich>
              </c:tx>
              <c:showLegendKey val="0"/>
              <c:showVal val="0"/>
              <c:showCatName val="0"/>
              <c:showSerName val="1"/>
              <c:showPercent val="0"/>
              <c:showBubbleSize val="0"/>
            </c:dLbl>
            <c:dLbl>
              <c:idx val="12"/>
              <c:tx>
                <c:rich>
                  <a:bodyPr/>
                  <a:lstStyle/>
                  <a:p>
                    <a:r>
                      <a:rPr lang="pl-PL" sz="600"/>
                      <a:t>CYP</a:t>
                    </a:r>
                    <a:endParaRPr lang="pl-PL"/>
                  </a:p>
                </c:rich>
              </c:tx>
              <c:showLegendKey val="0"/>
              <c:showVal val="0"/>
              <c:showCatName val="0"/>
              <c:showSerName val="1"/>
              <c:showPercent val="0"/>
              <c:showBubbleSize val="0"/>
            </c:dLbl>
            <c:dLbl>
              <c:idx val="13"/>
              <c:tx>
                <c:rich>
                  <a:bodyPr/>
                  <a:lstStyle/>
                  <a:p>
                    <a:r>
                      <a:rPr lang="pl-PL" sz="600"/>
                      <a:t>LIT</a:t>
                    </a:r>
                    <a:endParaRPr lang="pl-PL"/>
                  </a:p>
                </c:rich>
              </c:tx>
              <c:showLegendKey val="0"/>
              <c:showVal val="0"/>
              <c:showCatName val="0"/>
              <c:showSerName val="1"/>
              <c:showPercent val="0"/>
              <c:showBubbleSize val="0"/>
            </c:dLbl>
            <c:dLbl>
              <c:idx val="14"/>
              <c:tx>
                <c:rich>
                  <a:bodyPr/>
                  <a:lstStyle/>
                  <a:p>
                    <a:r>
                      <a:rPr lang="pl-PL" sz="600"/>
                      <a:t>LUX</a:t>
                    </a:r>
                    <a:endParaRPr lang="pl-PL"/>
                  </a:p>
                </c:rich>
              </c:tx>
              <c:showLegendKey val="0"/>
              <c:showVal val="0"/>
              <c:showCatName val="0"/>
              <c:showSerName val="1"/>
              <c:showPercent val="0"/>
              <c:showBubbleSize val="0"/>
            </c:dLbl>
            <c:dLbl>
              <c:idx val="15"/>
              <c:tx>
                <c:rich>
                  <a:bodyPr/>
                  <a:lstStyle/>
                  <a:p>
                    <a:r>
                      <a:rPr lang="pl-PL" sz="600"/>
                      <a:t>HUF</a:t>
                    </a:r>
                    <a:endParaRPr lang="pl-PL"/>
                  </a:p>
                </c:rich>
              </c:tx>
              <c:showLegendKey val="0"/>
              <c:showVal val="0"/>
              <c:showCatName val="0"/>
              <c:showSerName val="1"/>
              <c:showPercent val="0"/>
              <c:showBubbleSize val="0"/>
            </c:dLbl>
            <c:dLbl>
              <c:idx val="16"/>
              <c:tx>
                <c:rich>
                  <a:bodyPr/>
                  <a:lstStyle/>
                  <a:p>
                    <a:r>
                      <a:rPr lang="pl-PL" sz="600"/>
                      <a:t>HOL</a:t>
                    </a:r>
                    <a:endParaRPr lang="pl-PL"/>
                  </a:p>
                </c:rich>
              </c:tx>
              <c:showLegendKey val="0"/>
              <c:showVal val="0"/>
              <c:showCatName val="0"/>
              <c:showSerName val="1"/>
              <c:showPercent val="0"/>
              <c:showBubbleSize val="0"/>
            </c:dLbl>
            <c:dLbl>
              <c:idx val="17"/>
              <c:tx>
                <c:rich>
                  <a:bodyPr/>
                  <a:lstStyle/>
                  <a:p>
                    <a:r>
                      <a:rPr lang="pl-PL" sz="600"/>
                      <a:t>AUS</a:t>
                    </a:r>
                    <a:endParaRPr lang="pl-PL"/>
                  </a:p>
                </c:rich>
              </c:tx>
              <c:showLegendKey val="0"/>
              <c:showVal val="0"/>
              <c:showCatName val="0"/>
              <c:showSerName val="1"/>
              <c:showPercent val="0"/>
              <c:showBubbleSize val="0"/>
            </c:dLbl>
            <c:dLbl>
              <c:idx val="18"/>
              <c:tx>
                <c:rich>
                  <a:bodyPr/>
                  <a:lstStyle/>
                  <a:p>
                    <a:r>
                      <a:rPr lang="pl-PL" sz="600"/>
                      <a:t>POL</a:t>
                    </a:r>
                    <a:endParaRPr lang="pl-PL"/>
                  </a:p>
                </c:rich>
              </c:tx>
              <c:showLegendKey val="0"/>
              <c:showVal val="0"/>
              <c:showCatName val="0"/>
              <c:showSerName val="1"/>
              <c:showPercent val="0"/>
              <c:showBubbleSize val="0"/>
            </c:dLbl>
            <c:dLbl>
              <c:idx val="19"/>
              <c:tx>
                <c:rich>
                  <a:bodyPr/>
                  <a:lstStyle/>
                  <a:p>
                    <a:r>
                      <a:rPr lang="pl-PL" sz="600"/>
                      <a:t>POR</a:t>
                    </a:r>
                    <a:endParaRPr lang="pl-PL"/>
                  </a:p>
                </c:rich>
              </c:tx>
              <c:showLegendKey val="0"/>
              <c:showVal val="0"/>
              <c:showCatName val="0"/>
              <c:showSerName val="1"/>
              <c:showPercent val="0"/>
              <c:showBubbleSize val="0"/>
            </c:dLbl>
            <c:dLbl>
              <c:idx val="20"/>
              <c:tx>
                <c:rich>
                  <a:bodyPr/>
                  <a:lstStyle/>
                  <a:p>
                    <a:r>
                      <a:rPr lang="pl-PL" sz="600"/>
                      <a:t>RON</a:t>
                    </a:r>
                    <a:endParaRPr lang="pl-PL"/>
                  </a:p>
                </c:rich>
              </c:tx>
              <c:showLegendKey val="0"/>
              <c:showVal val="0"/>
              <c:showCatName val="0"/>
              <c:showSerName val="1"/>
              <c:showPercent val="0"/>
              <c:showBubbleSize val="0"/>
            </c:dLbl>
            <c:dLbl>
              <c:idx val="21"/>
              <c:tx>
                <c:rich>
                  <a:bodyPr/>
                  <a:lstStyle/>
                  <a:p>
                    <a:r>
                      <a:rPr lang="pl-PL" sz="600"/>
                      <a:t>SLO</a:t>
                    </a:r>
                    <a:endParaRPr lang="pl-PL"/>
                  </a:p>
                </c:rich>
              </c:tx>
              <c:showLegendKey val="0"/>
              <c:showVal val="0"/>
              <c:showCatName val="0"/>
              <c:showSerName val="1"/>
              <c:showPercent val="0"/>
              <c:showBubbleSize val="0"/>
            </c:dLbl>
            <c:txPr>
              <a:bodyPr/>
              <a:lstStyle/>
              <a:p>
                <a:pPr>
                  <a:defRPr sz="600"/>
                </a:pPr>
                <a:endParaRPr lang="pl-PL"/>
              </a:p>
            </c:txPr>
            <c:showLegendKey val="0"/>
            <c:showVal val="0"/>
            <c:showCatName val="0"/>
            <c:showSerName val="0"/>
            <c:showPercent val="0"/>
            <c:showBubbleSize val="0"/>
          </c:dLbls>
          <c:trendline>
            <c:trendlineType val="linear"/>
            <c:dispRSqr val="1"/>
            <c:dispEq val="1"/>
            <c:trendlineLbl>
              <c:layout>
                <c:manualLayout>
                  <c:x val="0.17477165354330709"/>
                  <c:y val="-0.498053732866725"/>
                </c:manualLayout>
              </c:layout>
              <c:numFmt formatCode="General" sourceLinked="0"/>
            </c:trendlineLbl>
          </c:trendline>
          <c:xVal>
            <c:numRef>
              <c:f>Arkusz1!$B$2:$B$23</c:f>
              <c:numCache>
                <c:formatCode>#,##0.00</c:formatCode>
                <c:ptCount val="22"/>
                <c:pt idx="0">
                  <c:v>2.93</c:v>
                </c:pt>
                <c:pt idx="1">
                  <c:v>2.84</c:v>
                </c:pt>
                <c:pt idx="2">
                  <c:v>2.4500000000000002</c:v>
                </c:pt>
                <c:pt idx="3">
                  <c:v>2.4300000000000002</c:v>
                </c:pt>
                <c:pt idx="4">
                  <c:v>1.86</c:v>
                </c:pt>
                <c:pt idx="5">
                  <c:v>1.76</c:v>
                </c:pt>
                <c:pt idx="6">
                  <c:v>3.39</c:v>
                </c:pt>
                <c:pt idx="7">
                  <c:v>8.18</c:v>
                </c:pt>
                <c:pt idx="8">
                  <c:v>3.79</c:v>
                </c:pt>
                <c:pt idx="9">
                  <c:v>2.38</c:v>
                </c:pt>
                <c:pt idx="10">
                  <c:v>5.1100000000000003</c:v>
                </c:pt>
                <c:pt idx="11">
                  <c:v>3.87</c:v>
                </c:pt>
                <c:pt idx="12">
                  <c:v>6</c:v>
                </c:pt>
                <c:pt idx="13">
                  <c:v>3.42</c:v>
                </c:pt>
                <c:pt idx="14">
                  <c:v>1.83</c:v>
                </c:pt>
                <c:pt idx="15">
                  <c:v>5.6</c:v>
                </c:pt>
                <c:pt idx="16">
                  <c:v>2.09</c:v>
                </c:pt>
                <c:pt idx="17">
                  <c:v>2.13</c:v>
                </c:pt>
                <c:pt idx="18">
                  <c:v>4.42</c:v>
                </c:pt>
                <c:pt idx="19">
                  <c:v>5.21</c:v>
                </c:pt>
                <c:pt idx="20">
                  <c:v>5.22</c:v>
                </c:pt>
                <c:pt idx="21">
                  <c:v>4.7300000000000004</c:v>
                </c:pt>
              </c:numCache>
            </c:numRef>
          </c:xVal>
          <c:yVal>
            <c:numRef>
              <c:f>Arkusz1!$D$2:$D$23</c:f>
              <c:numCache>
                <c:formatCode>#,##0.0</c:formatCode>
                <c:ptCount val="22"/>
                <c:pt idx="0">
                  <c:v>0.9</c:v>
                </c:pt>
                <c:pt idx="1">
                  <c:v>0.8</c:v>
                </c:pt>
                <c:pt idx="2">
                  <c:v>1.1000000000000001</c:v>
                </c:pt>
                <c:pt idx="3">
                  <c:v>0.3</c:v>
                </c:pt>
                <c:pt idx="4">
                  <c:v>0.8</c:v>
                </c:pt>
                <c:pt idx="5">
                  <c:v>1.2</c:v>
                </c:pt>
                <c:pt idx="6">
                  <c:v>0.3</c:v>
                </c:pt>
                <c:pt idx="7">
                  <c:v>-1.4</c:v>
                </c:pt>
                <c:pt idx="8">
                  <c:v>0.3</c:v>
                </c:pt>
                <c:pt idx="9">
                  <c:v>0.8</c:v>
                </c:pt>
                <c:pt idx="10">
                  <c:v>0.4</c:v>
                </c:pt>
                <c:pt idx="11">
                  <c:v>0.6</c:v>
                </c:pt>
                <c:pt idx="12">
                  <c:v>-1.6</c:v>
                </c:pt>
                <c:pt idx="13">
                  <c:v>0.2</c:v>
                </c:pt>
                <c:pt idx="14">
                  <c:v>1.5</c:v>
                </c:pt>
                <c:pt idx="15">
                  <c:v>0.8</c:v>
                </c:pt>
                <c:pt idx="16">
                  <c:v>0.8</c:v>
                </c:pt>
                <c:pt idx="17">
                  <c:v>1.5</c:v>
                </c:pt>
                <c:pt idx="18">
                  <c:v>0.6</c:v>
                </c:pt>
                <c:pt idx="19">
                  <c:v>0.1</c:v>
                </c:pt>
                <c:pt idx="20">
                  <c:v>1.2</c:v>
                </c:pt>
                <c:pt idx="21">
                  <c:v>0.9</c:v>
                </c:pt>
              </c:numCache>
            </c:numRef>
          </c:yVal>
          <c:smooth val="0"/>
        </c:ser>
        <c:dLbls>
          <c:showLegendKey val="0"/>
          <c:showVal val="0"/>
          <c:showCatName val="0"/>
          <c:showSerName val="0"/>
          <c:showPercent val="0"/>
          <c:showBubbleSize val="0"/>
        </c:dLbls>
        <c:axId val="212197376"/>
        <c:axId val="212199296"/>
      </c:scatterChart>
      <c:valAx>
        <c:axId val="212197376"/>
        <c:scaling>
          <c:orientation val="minMax"/>
        </c:scaling>
        <c:delete val="0"/>
        <c:axPos val="b"/>
        <c:title>
          <c:tx>
            <c:rich>
              <a:bodyPr/>
              <a:lstStyle/>
              <a:p>
                <a:pPr>
                  <a:defRPr/>
                </a:pPr>
                <a:r>
                  <a:rPr lang="pl-PL"/>
                  <a:t>Inflacja HICP (%</a:t>
                </a:r>
                <a:r>
                  <a:rPr lang="pl-PL" baseline="0"/>
                  <a:t>, r/r)</a:t>
                </a:r>
                <a:endParaRPr lang="pl-PL"/>
              </a:p>
            </c:rich>
          </c:tx>
          <c:overlay val="0"/>
        </c:title>
        <c:numFmt formatCode="#,##0.00" sourceLinked="1"/>
        <c:majorTickMark val="out"/>
        <c:minorTickMark val="none"/>
        <c:tickLblPos val="nextTo"/>
        <c:crossAx val="212199296"/>
        <c:crosses val="autoZero"/>
        <c:crossBetween val="midCat"/>
      </c:valAx>
      <c:valAx>
        <c:axId val="212199296"/>
        <c:scaling>
          <c:orientation val="minMax"/>
          <c:min val="-2"/>
        </c:scaling>
        <c:delete val="0"/>
        <c:axPos val="l"/>
        <c:title>
          <c:tx>
            <c:rich>
              <a:bodyPr rot="-5400000" vert="horz"/>
              <a:lstStyle/>
              <a:p>
                <a:pPr>
                  <a:defRPr/>
                </a:pPr>
                <a:r>
                  <a:rPr lang="pl-PL"/>
                  <a:t>Dochodowść - benchmark 10</a:t>
                </a:r>
                <a:r>
                  <a:rPr lang="pl-PL" baseline="0"/>
                  <a:t> lat (%)</a:t>
                </a:r>
                <a:endParaRPr lang="pl-PL"/>
              </a:p>
            </c:rich>
          </c:tx>
          <c:overlay val="0"/>
        </c:title>
        <c:numFmt formatCode="#,##0.0" sourceLinked="1"/>
        <c:majorTickMark val="out"/>
        <c:minorTickMark val="none"/>
        <c:tickLblPos val="nextTo"/>
        <c:crossAx val="212197376"/>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dPt>
            <c:idx val="0"/>
            <c:marker>
              <c:spPr>
                <a:ln>
                  <a:solidFill>
                    <a:srgbClr val="FFFFFF"/>
                  </a:solidFill>
                </a:ln>
              </c:spPr>
            </c:marker>
            <c:bubble3D val="0"/>
            <c:spPr>
              <a:ln>
                <a:solidFill>
                  <a:srgbClr val="FFFFFF"/>
                </a:solidFill>
              </a:ln>
            </c:spPr>
          </c:dPt>
          <c:dPt>
            <c:idx val="1"/>
            <c:marker>
              <c:spPr>
                <a:ln>
                  <a:solidFill>
                    <a:srgbClr val="FF0000"/>
                  </a:solidFill>
                </a:ln>
              </c:spPr>
            </c:marker>
            <c:bubble3D val="0"/>
            <c:spPr>
              <a:ln>
                <a:solidFill>
                  <a:srgbClr val="FF0000"/>
                </a:solidFill>
              </a:ln>
            </c:spPr>
          </c:dPt>
          <c:dPt>
            <c:idx val="2"/>
            <c:marker>
              <c:spPr>
                <a:ln>
                  <a:solidFill>
                    <a:srgbClr val="FF0000"/>
                  </a:solidFill>
                </a:ln>
              </c:spPr>
            </c:marker>
            <c:bubble3D val="0"/>
            <c:spPr>
              <a:ln>
                <a:solidFill>
                  <a:srgbClr val="FF0000"/>
                </a:solidFill>
              </a:ln>
            </c:spPr>
          </c:dPt>
          <c:dPt>
            <c:idx val="3"/>
            <c:marker>
              <c:spPr>
                <a:ln>
                  <a:solidFill>
                    <a:srgbClr val="FF0000"/>
                  </a:solidFill>
                </a:ln>
              </c:spPr>
            </c:marker>
            <c:bubble3D val="0"/>
            <c:spPr>
              <a:ln>
                <a:solidFill>
                  <a:srgbClr val="FF0000"/>
                </a:solidFill>
              </a:ln>
            </c:spPr>
          </c:dPt>
          <c:dPt>
            <c:idx val="4"/>
            <c:marker>
              <c:spPr>
                <a:ln>
                  <a:solidFill>
                    <a:srgbClr val="FF0000"/>
                  </a:solidFill>
                </a:ln>
              </c:spPr>
            </c:marker>
            <c:bubble3D val="0"/>
            <c:spPr>
              <a:ln>
                <a:solidFill>
                  <a:srgbClr val="FF0000"/>
                </a:solidFill>
              </a:ln>
            </c:spPr>
          </c:dPt>
          <c:dPt>
            <c:idx val="5"/>
            <c:marker>
              <c:spPr>
                <a:ln>
                  <a:solidFill>
                    <a:srgbClr val="FF0000"/>
                  </a:solidFill>
                </a:ln>
              </c:spPr>
            </c:marker>
            <c:bubble3D val="0"/>
            <c:spPr>
              <a:ln>
                <a:solidFill>
                  <a:srgbClr val="FF0000"/>
                </a:solidFill>
              </a:ln>
            </c:spPr>
          </c:dPt>
          <c:dPt>
            <c:idx val="6"/>
            <c:marker>
              <c:spPr>
                <a:ln>
                  <a:solidFill>
                    <a:srgbClr val="FF0000"/>
                  </a:solidFill>
                </a:ln>
              </c:spPr>
            </c:marker>
            <c:bubble3D val="0"/>
            <c:spPr>
              <a:ln>
                <a:solidFill>
                  <a:srgbClr val="FF0000"/>
                </a:solidFill>
              </a:ln>
            </c:spPr>
          </c:dPt>
          <c:dPt>
            <c:idx val="7"/>
            <c:marker>
              <c:spPr>
                <a:ln>
                  <a:solidFill>
                    <a:srgbClr val="FF0000"/>
                  </a:solidFill>
                </a:ln>
              </c:spPr>
            </c:marker>
            <c:bubble3D val="0"/>
            <c:spPr>
              <a:ln>
                <a:solidFill>
                  <a:srgbClr val="FF0000"/>
                </a:solidFill>
              </a:ln>
            </c:spPr>
          </c:dPt>
          <c:dPt>
            <c:idx val="8"/>
            <c:marker>
              <c:spPr>
                <a:ln>
                  <a:solidFill>
                    <a:srgbClr val="FF0000"/>
                  </a:solidFill>
                </a:ln>
              </c:spPr>
            </c:marker>
            <c:bubble3D val="0"/>
            <c:spPr>
              <a:ln>
                <a:solidFill>
                  <a:srgbClr val="FF0000"/>
                </a:solidFill>
              </a:ln>
            </c:spPr>
          </c:dPt>
          <c:dPt>
            <c:idx val="9"/>
            <c:marker>
              <c:spPr>
                <a:ln>
                  <a:solidFill>
                    <a:srgbClr val="FF0000"/>
                  </a:solidFill>
                </a:ln>
              </c:spPr>
            </c:marker>
            <c:bubble3D val="0"/>
            <c:spPr>
              <a:ln>
                <a:solidFill>
                  <a:srgbClr val="FF0000"/>
                </a:solidFill>
              </a:ln>
            </c:spPr>
          </c:dPt>
          <c:dPt>
            <c:idx val="10"/>
            <c:marker>
              <c:spPr>
                <a:ln>
                  <a:solidFill>
                    <a:srgbClr val="FF0000"/>
                  </a:solidFill>
                </a:ln>
              </c:spPr>
            </c:marker>
            <c:bubble3D val="0"/>
            <c:spPr>
              <a:ln>
                <a:solidFill>
                  <a:srgbClr val="FF0000"/>
                </a:solidFill>
              </a:ln>
            </c:spPr>
          </c:dPt>
          <c:dPt>
            <c:idx val="11"/>
            <c:marker>
              <c:spPr>
                <a:ln>
                  <a:solidFill>
                    <a:srgbClr val="FF0000"/>
                  </a:solidFill>
                </a:ln>
              </c:spPr>
            </c:marker>
            <c:bubble3D val="0"/>
            <c:spPr>
              <a:ln>
                <a:solidFill>
                  <a:srgbClr val="FF0000"/>
                </a:solidFill>
              </a:ln>
            </c:spPr>
          </c:dPt>
          <c:dPt>
            <c:idx val="12"/>
            <c:marker>
              <c:spPr>
                <a:ln>
                  <a:solidFill>
                    <a:srgbClr val="FF0000"/>
                  </a:solidFill>
                </a:ln>
              </c:spPr>
            </c:marker>
            <c:bubble3D val="0"/>
            <c:spPr>
              <a:ln>
                <a:solidFill>
                  <a:srgbClr val="FF0000"/>
                </a:solidFill>
              </a:ln>
            </c:spPr>
          </c:dPt>
          <c:dPt>
            <c:idx val="13"/>
            <c:marker>
              <c:spPr>
                <a:ln>
                  <a:solidFill>
                    <a:srgbClr val="CD0000"/>
                  </a:solidFill>
                </a:ln>
              </c:spPr>
            </c:marker>
            <c:bubble3D val="0"/>
            <c:spPr>
              <a:ln>
                <a:solidFill>
                  <a:srgbClr val="CD0000"/>
                </a:solidFill>
              </a:ln>
            </c:spPr>
          </c:dPt>
          <c:dPt>
            <c:idx val="14"/>
            <c:marker>
              <c:spPr>
                <a:ln>
                  <a:solidFill>
                    <a:srgbClr val="CD0000"/>
                  </a:solidFill>
                </a:ln>
              </c:spPr>
            </c:marker>
            <c:bubble3D val="0"/>
            <c:spPr>
              <a:ln>
                <a:solidFill>
                  <a:srgbClr val="CD0000"/>
                </a:solidFill>
              </a:ln>
            </c:spPr>
          </c:dPt>
          <c:dPt>
            <c:idx val="15"/>
            <c:marker>
              <c:spPr>
                <a:ln>
                  <a:solidFill>
                    <a:srgbClr val="CD0000"/>
                  </a:solidFill>
                </a:ln>
              </c:spPr>
            </c:marker>
            <c:bubble3D val="0"/>
            <c:spPr>
              <a:ln>
                <a:solidFill>
                  <a:srgbClr val="CD0000"/>
                </a:solidFill>
              </a:ln>
            </c:spPr>
          </c:dPt>
          <c:dPt>
            <c:idx val="16"/>
            <c:marker>
              <c:spPr>
                <a:ln>
                  <a:solidFill>
                    <a:srgbClr val="CD0000"/>
                  </a:solidFill>
                </a:ln>
              </c:spPr>
            </c:marker>
            <c:bubble3D val="0"/>
            <c:spPr>
              <a:ln>
                <a:solidFill>
                  <a:srgbClr val="CD0000"/>
                </a:solidFill>
              </a:ln>
            </c:spPr>
          </c:dPt>
          <c:dPt>
            <c:idx val="17"/>
            <c:marker>
              <c:spPr>
                <a:ln>
                  <a:solidFill>
                    <a:srgbClr val="CD0000"/>
                  </a:solidFill>
                </a:ln>
              </c:spPr>
            </c:marker>
            <c:bubble3D val="0"/>
            <c:spPr>
              <a:ln>
                <a:solidFill>
                  <a:srgbClr val="CD0000"/>
                </a:solidFill>
              </a:ln>
            </c:spPr>
          </c:dPt>
          <c:dPt>
            <c:idx val="18"/>
            <c:marker>
              <c:spPr>
                <a:ln>
                  <a:solidFill>
                    <a:srgbClr val="CD0000"/>
                  </a:solidFill>
                </a:ln>
              </c:spPr>
            </c:marker>
            <c:bubble3D val="0"/>
            <c:spPr>
              <a:ln>
                <a:solidFill>
                  <a:srgbClr val="CD0000"/>
                </a:solidFill>
              </a:ln>
            </c:spPr>
          </c:dPt>
          <c:dPt>
            <c:idx val="19"/>
            <c:marker>
              <c:spPr>
                <a:ln>
                  <a:solidFill>
                    <a:srgbClr val="CD0000"/>
                  </a:solidFill>
                </a:ln>
              </c:spPr>
            </c:marker>
            <c:bubble3D val="0"/>
            <c:spPr>
              <a:ln>
                <a:solidFill>
                  <a:srgbClr val="CD0000"/>
                </a:solidFill>
              </a:ln>
            </c:spPr>
          </c:dPt>
          <c:dPt>
            <c:idx val="20"/>
            <c:marker>
              <c:spPr>
                <a:ln>
                  <a:solidFill>
                    <a:srgbClr val="CD0000"/>
                  </a:solidFill>
                </a:ln>
              </c:spPr>
            </c:marker>
            <c:bubble3D val="0"/>
            <c:spPr>
              <a:ln>
                <a:solidFill>
                  <a:srgbClr val="CD0000"/>
                </a:solidFill>
              </a:ln>
            </c:spPr>
          </c:dPt>
          <c:dPt>
            <c:idx val="21"/>
            <c:marker>
              <c:spPr>
                <a:ln>
                  <a:solidFill>
                    <a:srgbClr val="CD0000"/>
                  </a:solidFill>
                </a:ln>
              </c:spPr>
            </c:marker>
            <c:bubble3D val="0"/>
            <c:spPr>
              <a:ln>
                <a:solidFill>
                  <a:srgbClr val="CD0000"/>
                </a:solidFill>
              </a:ln>
            </c:spPr>
          </c:dPt>
          <c:dPt>
            <c:idx val="22"/>
            <c:marker>
              <c:spPr>
                <a:ln>
                  <a:solidFill>
                    <a:srgbClr val="CD0000"/>
                  </a:solidFill>
                </a:ln>
              </c:spPr>
            </c:marker>
            <c:bubble3D val="0"/>
            <c:spPr>
              <a:ln>
                <a:solidFill>
                  <a:srgbClr val="CD0000"/>
                </a:solidFill>
              </a:ln>
            </c:spPr>
          </c:dPt>
          <c:dPt>
            <c:idx val="23"/>
            <c:marker>
              <c:spPr>
                <a:ln>
                  <a:solidFill>
                    <a:srgbClr val="CD0000"/>
                  </a:solidFill>
                </a:ln>
              </c:spPr>
            </c:marker>
            <c:bubble3D val="0"/>
            <c:spPr>
              <a:ln>
                <a:solidFill>
                  <a:srgbClr val="CD0000"/>
                </a:solidFill>
              </a:ln>
            </c:spPr>
          </c:dPt>
          <c:dPt>
            <c:idx val="24"/>
            <c:marker>
              <c:spPr>
                <a:ln>
                  <a:solidFill>
                    <a:srgbClr val="CD0000"/>
                  </a:solidFill>
                </a:ln>
              </c:spPr>
            </c:marker>
            <c:bubble3D val="0"/>
            <c:spPr>
              <a:ln>
                <a:solidFill>
                  <a:srgbClr val="CD0000"/>
                </a:solidFill>
              </a:ln>
            </c:spPr>
          </c:dPt>
          <c:dPt>
            <c:idx val="25"/>
            <c:marker>
              <c:spPr>
                <a:ln>
                  <a:solidFill>
                    <a:srgbClr val="690000"/>
                  </a:solidFill>
                </a:ln>
              </c:spPr>
            </c:marker>
            <c:bubble3D val="0"/>
            <c:spPr>
              <a:ln>
                <a:solidFill>
                  <a:srgbClr val="690000"/>
                </a:solidFill>
              </a:ln>
            </c:spPr>
          </c:dPt>
          <c:dPt>
            <c:idx val="26"/>
            <c:marker>
              <c:spPr>
                <a:ln>
                  <a:solidFill>
                    <a:srgbClr val="690000"/>
                  </a:solidFill>
                </a:ln>
              </c:spPr>
            </c:marker>
            <c:bubble3D val="0"/>
            <c:spPr>
              <a:ln>
                <a:solidFill>
                  <a:srgbClr val="690000"/>
                </a:solidFill>
              </a:ln>
            </c:spPr>
          </c:dPt>
          <c:dPt>
            <c:idx val="27"/>
            <c:marker>
              <c:spPr>
                <a:ln>
                  <a:solidFill>
                    <a:srgbClr val="690000"/>
                  </a:solidFill>
                </a:ln>
              </c:spPr>
            </c:marker>
            <c:bubble3D val="0"/>
            <c:spPr>
              <a:ln>
                <a:solidFill>
                  <a:srgbClr val="690000"/>
                </a:solidFill>
              </a:ln>
            </c:spPr>
          </c:dPt>
          <c:dPt>
            <c:idx val="28"/>
            <c:marker>
              <c:spPr>
                <a:ln>
                  <a:solidFill>
                    <a:srgbClr val="690000"/>
                  </a:solidFill>
                </a:ln>
              </c:spPr>
            </c:marker>
            <c:bubble3D val="0"/>
            <c:spPr>
              <a:ln>
                <a:solidFill>
                  <a:srgbClr val="690000"/>
                </a:solidFill>
              </a:ln>
            </c:spPr>
          </c:dPt>
          <c:dPt>
            <c:idx val="29"/>
            <c:marker>
              <c:spPr>
                <a:ln>
                  <a:solidFill>
                    <a:srgbClr val="690000"/>
                  </a:solidFill>
                </a:ln>
              </c:spPr>
            </c:marker>
            <c:bubble3D val="0"/>
            <c:spPr>
              <a:ln>
                <a:solidFill>
                  <a:srgbClr val="690000"/>
                </a:solidFill>
              </a:ln>
            </c:spPr>
          </c:dPt>
          <c:dPt>
            <c:idx val="30"/>
            <c:marker>
              <c:spPr>
                <a:ln>
                  <a:solidFill>
                    <a:srgbClr val="690000"/>
                  </a:solidFill>
                </a:ln>
              </c:spPr>
            </c:marker>
            <c:bubble3D val="0"/>
            <c:spPr>
              <a:ln>
                <a:solidFill>
                  <a:srgbClr val="690000"/>
                </a:solidFill>
              </a:ln>
            </c:spPr>
          </c:dPt>
          <c:dPt>
            <c:idx val="31"/>
            <c:marker>
              <c:spPr>
                <a:ln>
                  <a:solidFill>
                    <a:srgbClr val="690000"/>
                  </a:solidFill>
                </a:ln>
              </c:spPr>
            </c:marker>
            <c:bubble3D val="0"/>
            <c:spPr>
              <a:ln>
                <a:solidFill>
                  <a:srgbClr val="690000"/>
                </a:solidFill>
              </a:ln>
            </c:spPr>
          </c:dPt>
          <c:dPt>
            <c:idx val="32"/>
            <c:marker>
              <c:spPr>
                <a:ln>
                  <a:solidFill>
                    <a:srgbClr val="690000"/>
                  </a:solidFill>
                </a:ln>
              </c:spPr>
            </c:marker>
            <c:bubble3D val="0"/>
            <c:spPr>
              <a:ln>
                <a:solidFill>
                  <a:srgbClr val="690000"/>
                </a:solidFill>
              </a:ln>
            </c:spPr>
          </c:dPt>
          <c:dPt>
            <c:idx val="33"/>
            <c:marker>
              <c:spPr>
                <a:ln>
                  <a:solidFill>
                    <a:srgbClr val="690000"/>
                  </a:solidFill>
                </a:ln>
              </c:spPr>
            </c:marker>
            <c:bubble3D val="0"/>
            <c:spPr>
              <a:ln>
                <a:solidFill>
                  <a:srgbClr val="690000"/>
                </a:solidFill>
              </a:ln>
            </c:spPr>
          </c:dPt>
          <c:dPt>
            <c:idx val="34"/>
            <c:marker>
              <c:spPr>
                <a:ln>
                  <a:solidFill>
                    <a:srgbClr val="690000"/>
                  </a:solidFill>
                </a:ln>
              </c:spPr>
            </c:marker>
            <c:bubble3D val="0"/>
            <c:spPr>
              <a:ln>
                <a:solidFill>
                  <a:srgbClr val="690000"/>
                </a:solidFill>
              </a:ln>
            </c:spPr>
          </c:dPt>
          <c:dPt>
            <c:idx val="35"/>
            <c:marker>
              <c:spPr>
                <a:ln>
                  <a:solidFill>
                    <a:srgbClr val="690000"/>
                  </a:solidFill>
                </a:ln>
              </c:spPr>
            </c:marker>
            <c:bubble3D val="0"/>
            <c:spPr>
              <a:ln>
                <a:solidFill>
                  <a:srgbClr val="690000"/>
                </a:solidFill>
              </a:ln>
            </c:spPr>
          </c:dPt>
          <c:dPt>
            <c:idx val="36"/>
            <c:marker>
              <c:spPr>
                <a:ln>
                  <a:solidFill>
                    <a:srgbClr val="690000"/>
                  </a:solidFill>
                </a:ln>
              </c:spPr>
            </c:marker>
            <c:bubble3D val="0"/>
            <c:spPr>
              <a:ln>
                <a:solidFill>
                  <a:srgbClr val="690000"/>
                </a:solidFill>
              </a:ln>
            </c:spPr>
          </c:dPt>
          <c:dPt>
            <c:idx val="37"/>
            <c:marker>
              <c:spPr>
                <a:ln>
                  <a:solidFill>
                    <a:srgbClr val="370000"/>
                  </a:solidFill>
                </a:ln>
              </c:spPr>
            </c:marker>
            <c:bubble3D val="0"/>
            <c:spPr>
              <a:ln>
                <a:solidFill>
                  <a:srgbClr val="370000"/>
                </a:solidFill>
              </a:ln>
            </c:spPr>
          </c:dPt>
          <c:dPt>
            <c:idx val="38"/>
            <c:marker>
              <c:spPr>
                <a:ln>
                  <a:solidFill>
                    <a:srgbClr val="370000"/>
                  </a:solidFill>
                </a:ln>
              </c:spPr>
            </c:marker>
            <c:bubble3D val="0"/>
            <c:spPr>
              <a:ln>
                <a:solidFill>
                  <a:srgbClr val="370000"/>
                </a:solidFill>
              </a:ln>
            </c:spPr>
          </c:dPt>
          <c:dPt>
            <c:idx val="39"/>
            <c:marker>
              <c:spPr>
                <a:ln>
                  <a:solidFill>
                    <a:srgbClr val="370000"/>
                  </a:solidFill>
                </a:ln>
              </c:spPr>
            </c:marker>
            <c:bubble3D val="0"/>
            <c:spPr>
              <a:ln>
                <a:solidFill>
                  <a:srgbClr val="370000"/>
                </a:solidFill>
              </a:ln>
            </c:spPr>
          </c:dPt>
          <c:dPt>
            <c:idx val="40"/>
            <c:marker>
              <c:spPr>
                <a:ln>
                  <a:solidFill>
                    <a:srgbClr val="370000"/>
                  </a:solidFill>
                </a:ln>
              </c:spPr>
            </c:marker>
            <c:bubble3D val="0"/>
            <c:spPr>
              <a:ln>
                <a:solidFill>
                  <a:srgbClr val="370000"/>
                </a:solidFill>
              </a:ln>
            </c:spPr>
          </c:dPt>
          <c:dPt>
            <c:idx val="41"/>
            <c:marker>
              <c:spPr>
                <a:ln>
                  <a:solidFill>
                    <a:srgbClr val="370000"/>
                  </a:solidFill>
                </a:ln>
              </c:spPr>
            </c:marker>
            <c:bubble3D val="0"/>
            <c:spPr>
              <a:ln>
                <a:solidFill>
                  <a:srgbClr val="370000"/>
                </a:solidFill>
              </a:ln>
            </c:spPr>
          </c:dPt>
          <c:dPt>
            <c:idx val="42"/>
            <c:marker>
              <c:spPr>
                <a:ln>
                  <a:solidFill>
                    <a:srgbClr val="370000"/>
                  </a:solidFill>
                </a:ln>
              </c:spPr>
            </c:marker>
            <c:bubble3D val="0"/>
            <c:spPr>
              <a:ln>
                <a:solidFill>
                  <a:srgbClr val="370000"/>
                </a:solidFill>
              </a:ln>
            </c:spPr>
          </c:dPt>
          <c:dPt>
            <c:idx val="43"/>
            <c:marker>
              <c:spPr>
                <a:ln>
                  <a:solidFill>
                    <a:srgbClr val="370000"/>
                  </a:solidFill>
                </a:ln>
              </c:spPr>
            </c:marker>
            <c:bubble3D val="0"/>
            <c:spPr>
              <a:ln>
                <a:solidFill>
                  <a:srgbClr val="370000"/>
                </a:solidFill>
              </a:ln>
            </c:spPr>
          </c:dPt>
          <c:dPt>
            <c:idx val="44"/>
            <c:marker>
              <c:spPr>
                <a:ln>
                  <a:solidFill>
                    <a:srgbClr val="370000"/>
                  </a:solidFill>
                </a:ln>
              </c:spPr>
            </c:marker>
            <c:bubble3D val="0"/>
            <c:spPr>
              <a:ln>
                <a:solidFill>
                  <a:srgbClr val="370000"/>
                </a:solidFill>
              </a:ln>
            </c:spPr>
          </c:dPt>
          <c:dPt>
            <c:idx val="45"/>
            <c:marker>
              <c:spPr>
                <a:ln>
                  <a:solidFill>
                    <a:srgbClr val="370000"/>
                  </a:solidFill>
                </a:ln>
              </c:spPr>
            </c:marker>
            <c:bubble3D val="0"/>
            <c:spPr>
              <a:ln>
                <a:solidFill>
                  <a:srgbClr val="370000"/>
                </a:solidFill>
              </a:ln>
            </c:spPr>
          </c:dPt>
          <c:dPt>
            <c:idx val="46"/>
            <c:marker>
              <c:spPr>
                <a:ln>
                  <a:solidFill>
                    <a:srgbClr val="370000"/>
                  </a:solidFill>
                </a:ln>
              </c:spPr>
            </c:marker>
            <c:bubble3D val="0"/>
            <c:spPr>
              <a:ln>
                <a:solidFill>
                  <a:srgbClr val="370000"/>
                </a:solidFill>
              </a:ln>
            </c:spPr>
          </c:dPt>
          <c:dPt>
            <c:idx val="47"/>
            <c:marker>
              <c:spPr>
                <a:ln>
                  <a:solidFill>
                    <a:srgbClr val="370000"/>
                  </a:solidFill>
                </a:ln>
              </c:spPr>
            </c:marker>
            <c:bubble3D val="0"/>
            <c:spPr>
              <a:ln>
                <a:solidFill>
                  <a:srgbClr val="370000"/>
                </a:solidFill>
              </a:ln>
            </c:spPr>
          </c:dPt>
          <c:dPt>
            <c:idx val="48"/>
            <c:marker>
              <c:spPr>
                <a:ln>
                  <a:solidFill>
                    <a:srgbClr val="370000"/>
                  </a:solidFill>
                </a:ln>
              </c:spPr>
            </c:marker>
            <c:bubble3D val="0"/>
            <c:spPr>
              <a:ln>
                <a:solidFill>
                  <a:srgbClr val="370000"/>
                </a:solidFill>
              </a:ln>
            </c:spPr>
          </c:dPt>
          <c:dPt>
            <c:idx val="49"/>
            <c:marker>
              <c:spPr>
                <a:ln>
                  <a:solidFill>
                    <a:srgbClr val="FFFF00"/>
                  </a:solidFill>
                </a:ln>
              </c:spPr>
            </c:marker>
            <c:bubble3D val="0"/>
            <c:spPr>
              <a:ln>
                <a:solidFill>
                  <a:srgbClr val="FFFF00"/>
                </a:solidFill>
              </a:ln>
            </c:spPr>
          </c:dPt>
          <c:dPt>
            <c:idx val="50"/>
            <c:marker>
              <c:spPr>
                <a:ln>
                  <a:solidFill>
                    <a:srgbClr val="FFFF00"/>
                  </a:solidFill>
                </a:ln>
              </c:spPr>
            </c:marker>
            <c:bubble3D val="0"/>
            <c:spPr>
              <a:ln>
                <a:solidFill>
                  <a:srgbClr val="FFFF00"/>
                </a:solidFill>
              </a:ln>
            </c:spPr>
          </c:dPt>
          <c:dPt>
            <c:idx val="51"/>
            <c:marker>
              <c:spPr>
                <a:ln>
                  <a:solidFill>
                    <a:srgbClr val="FFFF00"/>
                  </a:solidFill>
                </a:ln>
              </c:spPr>
            </c:marker>
            <c:bubble3D val="0"/>
            <c:spPr>
              <a:ln>
                <a:solidFill>
                  <a:srgbClr val="FFFF00"/>
                </a:solidFill>
              </a:ln>
            </c:spPr>
          </c:dPt>
          <c:dPt>
            <c:idx val="52"/>
            <c:marker>
              <c:spPr>
                <a:ln>
                  <a:solidFill>
                    <a:srgbClr val="FFFF00"/>
                  </a:solidFill>
                </a:ln>
              </c:spPr>
            </c:marker>
            <c:bubble3D val="0"/>
            <c:spPr>
              <a:ln>
                <a:solidFill>
                  <a:srgbClr val="FFFF00"/>
                </a:solidFill>
              </a:ln>
            </c:spPr>
          </c:dPt>
          <c:dPt>
            <c:idx val="53"/>
            <c:marker>
              <c:spPr>
                <a:ln>
                  <a:solidFill>
                    <a:srgbClr val="FFFF00"/>
                  </a:solidFill>
                </a:ln>
              </c:spPr>
            </c:marker>
            <c:bubble3D val="0"/>
            <c:spPr>
              <a:ln>
                <a:solidFill>
                  <a:srgbClr val="FFFF00"/>
                </a:solidFill>
              </a:ln>
            </c:spPr>
          </c:dPt>
          <c:dPt>
            <c:idx val="54"/>
            <c:marker>
              <c:spPr>
                <a:ln>
                  <a:solidFill>
                    <a:srgbClr val="FFFF00"/>
                  </a:solidFill>
                </a:ln>
              </c:spPr>
            </c:marker>
            <c:bubble3D val="0"/>
            <c:spPr>
              <a:ln>
                <a:solidFill>
                  <a:srgbClr val="FFFF00"/>
                </a:solidFill>
              </a:ln>
            </c:spPr>
          </c:dPt>
          <c:dPt>
            <c:idx val="55"/>
            <c:marker>
              <c:spPr>
                <a:ln>
                  <a:solidFill>
                    <a:srgbClr val="FFFF00"/>
                  </a:solidFill>
                </a:ln>
              </c:spPr>
            </c:marker>
            <c:bubble3D val="0"/>
            <c:spPr>
              <a:ln>
                <a:solidFill>
                  <a:srgbClr val="FFFF00"/>
                </a:solidFill>
              </a:ln>
            </c:spPr>
          </c:dPt>
          <c:dPt>
            <c:idx val="56"/>
            <c:marker>
              <c:spPr>
                <a:ln>
                  <a:solidFill>
                    <a:srgbClr val="FFFF00"/>
                  </a:solidFill>
                </a:ln>
              </c:spPr>
            </c:marker>
            <c:bubble3D val="0"/>
            <c:spPr>
              <a:ln>
                <a:solidFill>
                  <a:srgbClr val="FFFF00"/>
                </a:solidFill>
              </a:ln>
            </c:spPr>
          </c:dPt>
          <c:dPt>
            <c:idx val="57"/>
            <c:marker>
              <c:spPr>
                <a:ln>
                  <a:solidFill>
                    <a:srgbClr val="FFFF00"/>
                  </a:solidFill>
                </a:ln>
              </c:spPr>
            </c:marker>
            <c:bubble3D val="0"/>
            <c:spPr>
              <a:ln>
                <a:solidFill>
                  <a:srgbClr val="FFFF00"/>
                </a:solidFill>
              </a:ln>
            </c:spPr>
          </c:dPt>
          <c:dPt>
            <c:idx val="58"/>
            <c:marker>
              <c:spPr>
                <a:ln>
                  <a:solidFill>
                    <a:srgbClr val="FFFF00"/>
                  </a:solidFill>
                </a:ln>
              </c:spPr>
            </c:marker>
            <c:bubble3D val="0"/>
            <c:spPr>
              <a:ln>
                <a:solidFill>
                  <a:srgbClr val="FFFF00"/>
                </a:solidFill>
              </a:ln>
            </c:spPr>
          </c:dPt>
          <c:dPt>
            <c:idx val="59"/>
            <c:marker>
              <c:spPr>
                <a:ln>
                  <a:solidFill>
                    <a:srgbClr val="FFFF00"/>
                  </a:solidFill>
                </a:ln>
              </c:spPr>
            </c:marker>
            <c:bubble3D val="0"/>
            <c:spPr>
              <a:ln>
                <a:solidFill>
                  <a:srgbClr val="FFFF00"/>
                </a:solidFill>
              </a:ln>
            </c:spPr>
          </c:dPt>
          <c:dPt>
            <c:idx val="60"/>
            <c:marker>
              <c:spPr>
                <a:ln>
                  <a:solidFill>
                    <a:srgbClr val="FFFF00"/>
                  </a:solidFill>
                </a:ln>
              </c:spPr>
            </c:marker>
            <c:bubble3D val="0"/>
            <c:spPr>
              <a:ln>
                <a:solidFill>
                  <a:srgbClr val="FFFF00"/>
                </a:solidFill>
              </a:ln>
            </c:spPr>
          </c:dPt>
          <c:dPt>
            <c:idx val="61"/>
            <c:marker>
              <c:spPr>
                <a:ln>
                  <a:solidFill>
                    <a:srgbClr val="FFCD00"/>
                  </a:solidFill>
                </a:ln>
              </c:spPr>
            </c:marker>
            <c:bubble3D val="0"/>
            <c:spPr>
              <a:ln>
                <a:solidFill>
                  <a:srgbClr val="FFCD00"/>
                </a:solidFill>
              </a:ln>
            </c:spPr>
          </c:dPt>
          <c:dPt>
            <c:idx val="62"/>
            <c:marker>
              <c:spPr>
                <a:ln>
                  <a:solidFill>
                    <a:srgbClr val="FFCD00"/>
                  </a:solidFill>
                </a:ln>
              </c:spPr>
            </c:marker>
            <c:bubble3D val="0"/>
            <c:spPr>
              <a:ln>
                <a:solidFill>
                  <a:srgbClr val="FFCD00"/>
                </a:solidFill>
              </a:ln>
            </c:spPr>
          </c:dPt>
          <c:dPt>
            <c:idx val="63"/>
            <c:marker>
              <c:spPr>
                <a:ln>
                  <a:solidFill>
                    <a:srgbClr val="FFCD00"/>
                  </a:solidFill>
                </a:ln>
              </c:spPr>
            </c:marker>
            <c:bubble3D val="0"/>
            <c:spPr>
              <a:ln>
                <a:solidFill>
                  <a:srgbClr val="FFCD00"/>
                </a:solidFill>
              </a:ln>
            </c:spPr>
          </c:dPt>
          <c:dPt>
            <c:idx val="64"/>
            <c:marker>
              <c:spPr>
                <a:ln>
                  <a:solidFill>
                    <a:srgbClr val="FFCD00"/>
                  </a:solidFill>
                </a:ln>
              </c:spPr>
            </c:marker>
            <c:bubble3D val="0"/>
            <c:spPr>
              <a:ln>
                <a:solidFill>
                  <a:srgbClr val="FFCD00"/>
                </a:solidFill>
              </a:ln>
            </c:spPr>
          </c:dPt>
          <c:dPt>
            <c:idx val="65"/>
            <c:marker>
              <c:spPr>
                <a:ln>
                  <a:solidFill>
                    <a:srgbClr val="FFCD00"/>
                  </a:solidFill>
                </a:ln>
              </c:spPr>
            </c:marker>
            <c:bubble3D val="0"/>
            <c:spPr>
              <a:ln>
                <a:solidFill>
                  <a:srgbClr val="FFCD00"/>
                </a:solidFill>
              </a:ln>
            </c:spPr>
          </c:dPt>
          <c:dPt>
            <c:idx val="66"/>
            <c:marker>
              <c:spPr>
                <a:ln>
                  <a:solidFill>
                    <a:srgbClr val="FFCD00"/>
                  </a:solidFill>
                </a:ln>
              </c:spPr>
            </c:marker>
            <c:bubble3D val="0"/>
            <c:spPr>
              <a:ln>
                <a:solidFill>
                  <a:srgbClr val="FFCD00"/>
                </a:solidFill>
              </a:ln>
            </c:spPr>
          </c:dPt>
          <c:dPt>
            <c:idx val="67"/>
            <c:marker>
              <c:spPr>
                <a:ln>
                  <a:solidFill>
                    <a:srgbClr val="FFCD00"/>
                  </a:solidFill>
                </a:ln>
              </c:spPr>
            </c:marker>
            <c:bubble3D val="0"/>
            <c:spPr>
              <a:ln>
                <a:solidFill>
                  <a:srgbClr val="FFCD00"/>
                </a:solidFill>
              </a:ln>
            </c:spPr>
          </c:dPt>
          <c:dPt>
            <c:idx val="68"/>
            <c:marker>
              <c:spPr>
                <a:ln>
                  <a:solidFill>
                    <a:srgbClr val="FFCD00"/>
                  </a:solidFill>
                </a:ln>
              </c:spPr>
            </c:marker>
            <c:bubble3D val="0"/>
            <c:spPr>
              <a:ln>
                <a:solidFill>
                  <a:srgbClr val="FFCD00"/>
                </a:solidFill>
              </a:ln>
            </c:spPr>
          </c:dPt>
          <c:dPt>
            <c:idx val="69"/>
            <c:marker>
              <c:spPr>
                <a:ln>
                  <a:solidFill>
                    <a:srgbClr val="FFCD00"/>
                  </a:solidFill>
                </a:ln>
              </c:spPr>
            </c:marker>
            <c:bubble3D val="0"/>
            <c:spPr>
              <a:ln>
                <a:solidFill>
                  <a:srgbClr val="FFCD00"/>
                </a:solidFill>
              </a:ln>
            </c:spPr>
          </c:dPt>
          <c:dPt>
            <c:idx val="70"/>
            <c:marker>
              <c:spPr>
                <a:ln>
                  <a:solidFill>
                    <a:srgbClr val="FFCD00"/>
                  </a:solidFill>
                </a:ln>
              </c:spPr>
            </c:marker>
            <c:bubble3D val="0"/>
            <c:spPr>
              <a:ln>
                <a:solidFill>
                  <a:srgbClr val="FFCD00"/>
                </a:solidFill>
              </a:ln>
            </c:spPr>
          </c:dPt>
          <c:dPt>
            <c:idx val="71"/>
            <c:marker>
              <c:spPr>
                <a:ln>
                  <a:solidFill>
                    <a:srgbClr val="FFCD00"/>
                  </a:solidFill>
                </a:ln>
              </c:spPr>
            </c:marker>
            <c:bubble3D val="0"/>
            <c:spPr>
              <a:ln>
                <a:solidFill>
                  <a:srgbClr val="FFCD00"/>
                </a:solidFill>
              </a:ln>
            </c:spPr>
          </c:dPt>
          <c:dPt>
            <c:idx val="72"/>
            <c:marker>
              <c:spPr>
                <a:ln>
                  <a:solidFill>
                    <a:srgbClr val="FFCD00"/>
                  </a:solidFill>
                </a:ln>
              </c:spPr>
            </c:marker>
            <c:bubble3D val="0"/>
            <c:spPr>
              <a:ln>
                <a:solidFill>
                  <a:srgbClr val="FFCD00"/>
                </a:solidFill>
              </a:ln>
            </c:spPr>
          </c:dPt>
          <c:dPt>
            <c:idx val="73"/>
            <c:marker>
              <c:spPr>
                <a:ln>
                  <a:solidFill>
                    <a:srgbClr val="FF9B00"/>
                  </a:solidFill>
                </a:ln>
              </c:spPr>
            </c:marker>
            <c:bubble3D val="0"/>
            <c:spPr>
              <a:ln>
                <a:solidFill>
                  <a:srgbClr val="FF9B00"/>
                </a:solidFill>
              </a:ln>
            </c:spPr>
          </c:dPt>
          <c:dPt>
            <c:idx val="74"/>
            <c:marker>
              <c:spPr>
                <a:ln>
                  <a:solidFill>
                    <a:srgbClr val="FF9B00"/>
                  </a:solidFill>
                </a:ln>
              </c:spPr>
            </c:marker>
            <c:bubble3D val="0"/>
            <c:spPr>
              <a:ln>
                <a:solidFill>
                  <a:srgbClr val="FF9B00"/>
                </a:solidFill>
              </a:ln>
            </c:spPr>
          </c:dPt>
          <c:dPt>
            <c:idx val="75"/>
            <c:marker>
              <c:spPr>
                <a:ln>
                  <a:solidFill>
                    <a:srgbClr val="FF9B00"/>
                  </a:solidFill>
                </a:ln>
              </c:spPr>
            </c:marker>
            <c:bubble3D val="0"/>
            <c:spPr>
              <a:ln>
                <a:solidFill>
                  <a:srgbClr val="FF9B00"/>
                </a:solidFill>
              </a:ln>
            </c:spPr>
          </c:dPt>
          <c:dPt>
            <c:idx val="76"/>
            <c:marker>
              <c:spPr>
                <a:ln>
                  <a:solidFill>
                    <a:srgbClr val="FF9B00"/>
                  </a:solidFill>
                </a:ln>
              </c:spPr>
            </c:marker>
            <c:bubble3D val="0"/>
            <c:spPr>
              <a:ln>
                <a:solidFill>
                  <a:srgbClr val="FF9B00"/>
                </a:solidFill>
              </a:ln>
            </c:spPr>
          </c:dPt>
          <c:dPt>
            <c:idx val="77"/>
            <c:marker>
              <c:spPr>
                <a:ln>
                  <a:solidFill>
                    <a:srgbClr val="FF9B00"/>
                  </a:solidFill>
                </a:ln>
              </c:spPr>
            </c:marker>
            <c:bubble3D val="0"/>
            <c:spPr>
              <a:ln>
                <a:solidFill>
                  <a:srgbClr val="FF9B00"/>
                </a:solidFill>
              </a:ln>
            </c:spPr>
          </c:dPt>
          <c:dPt>
            <c:idx val="78"/>
            <c:marker>
              <c:spPr>
                <a:ln>
                  <a:solidFill>
                    <a:srgbClr val="FF9B00"/>
                  </a:solidFill>
                </a:ln>
              </c:spPr>
            </c:marker>
            <c:bubble3D val="0"/>
            <c:spPr>
              <a:ln>
                <a:solidFill>
                  <a:srgbClr val="FF9B00"/>
                </a:solidFill>
              </a:ln>
            </c:spPr>
          </c:dPt>
          <c:dPt>
            <c:idx val="79"/>
            <c:marker>
              <c:spPr>
                <a:ln>
                  <a:solidFill>
                    <a:srgbClr val="FF9B00"/>
                  </a:solidFill>
                </a:ln>
              </c:spPr>
            </c:marker>
            <c:bubble3D val="0"/>
            <c:spPr>
              <a:ln>
                <a:solidFill>
                  <a:srgbClr val="FF9B00"/>
                </a:solidFill>
              </a:ln>
            </c:spPr>
          </c:dPt>
          <c:dPt>
            <c:idx val="80"/>
            <c:marker>
              <c:spPr>
                <a:ln>
                  <a:solidFill>
                    <a:srgbClr val="FF9B00"/>
                  </a:solidFill>
                </a:ln>
              </c:spPr>
            </c:marker>
            <c:bubble3D val="0"/>
            <c:spPr>
              <a:ln>
                <a:solidFill>
                  <a:srgbClr val="FF9B00"/>
                </a:solidFill>
              </a:ln>
            </c:spPr>
          </c:dPt>
          <c:dPt>
            <c:idx val="81"/>
            <c:marker>
              <c:spPr>
                <a:ln>
                  <a:solidFill>
                    <a:srgbClr val="FF9B00"/>
                  </a:solidFill>
                </a:ln>
              </c:spPr>
            </c:marker>
            <c:bubble3D val="0"/>
            <c:spPr>
              <a:ln>
                <a:solidFill>
                  <a:srgbClr val="FF9B00"/>
                </a:solidFill>
              </a:ln>
            </c:spPr>
          </c:dPt>
          <c:dPt>
            <c:idx val="82"/>
            <c:marker>
              <c:spPr>
                <a:ln>
                  <a:solidFill>
                    <a:srgbClr val="FF9B00"/>
                  </a:solidFill>
                </a:ln>
              </c:spPr>
            </c:marker>
            <c:bubble3D val="0"/>
            <c:spPr>
              <a:ln>
                <a:solidFill>
                  <a:srgbClr val="FF9B00"/>
                </a:solidFill>
              </a:ln>
            </c:spPr>
          </c:dPt>
          <c:dPt>
            <c:idx val="83"/>
            <c:marker>
              <c:spPr>
                <a:ln>
                  <a:solidFill>
                    <a:srgbClr val="FF9B00"/>
                  </a:solidFill>
                </a:ln>
              </c:spPr>
            </c:marker>
            <c:bubble3D val="0"/>
            <c:spPr>
              <a:ln>
                <a:solidFill>
                  <a:srgbClr val="FF9B00"/>
                </a:solidFill>
              </a:ln>
            </c:spPr>
          </c:dPt>
          <c:dPt>
            <c:idx val="84"/>
            <c:marker>
              <c:spPr>
                <a:ln>
                  <a:solidFill>
                    <a:srgbClr val="FF9B00"/>
                  </a:solidFill>
                </a:ln>
              </c:spPr>
            </c:marker>
            <c:bubble3D val="0"/>
            <c:spPr>
              <a:ln>
                <a:solidFill>
                  <a:srgbClr val="FF9B00"/>
                </a:solidFill>
              </a:ln>
            </c:spPr>
          </c:dPt>
          <c:dPt>
            <c:idx val="85"/>
            <c:marker>
              <c:spPr>
                <a:ln>
                  <a:solidFill>
                    <a:srgbClr val="FF6900"/>
                  </a:solidFill>
                </a:ln>
              </c:spPr>
            </c:marker>
            <c:bubble3D val="0"/>
            <c:spPr>
              <a:ln>
                <a:solidFill>
                  <a:srgbClr val="FF6900"/>
                </a:solidFill>
              </a:ln>
            </c:spPr>
          </c:dPt>
          <c:dPt>
            <c:idx val="86"/>
            <c:marker>
              <c:spPr>
                <a:ln>
                  <a:solidFill>
                    <a:srgbClr val="FF6900"/>
                  </a:solidFill>
                </a:ln>
              </c:spPr>
            </c:marker>
            <c:bubble3D val="0"/>
            <c:spPr>
              <a:ln>
                <a:solidFill>
                  <a:srgbClr val="FF6900"/>
                </a:solidFill>
              </a:ln>
            </c:spPr>
          </c:dPt>
          <c:dPt>
            <c:idx val="87"/>
            <c:marker>
              <c:spPr>
                <a:ln>
                  <a:solidFill>
                    <a:srgbClr val="FF6900"/>
                  </a:solidFill>
                </a:ln>
              </c:spPr>
            </c:marker>
            <c:bubble3D val="0"/>
            <c:spPr>
              <a:ln>
                <a:solidFill>
                  <a:srgbClr val="FF6900"/>
                </a:solidFill>
              </a:ln>
            </c:spPr>
          </c:dPt>
          <c:dPt>
            <c:idx val="88"/>
            <c:marker>
              <c:spPr>
                <a:ln>
                  <a:solidFill>
                    <a:srgbClr val="FF6900"/>
                  </a:solidFill>
                </a:ln>
              </c:spPr>
            </c:marker>
            <c:bubble3D val="0"/>
            <c:spPr>
              <a:ln>
                <a:solidFill>
                  <a:srgbClr val="FF6900"/>
                </a:solidFill>
              </a:ln>
            </c:spPr>
          </c:dPt>
          <c:dPt>
            <c:idx val="89"/>
            <c:marker>
              <c:spPr>
                <a:ln>
                  <a:solidFill>
                    <a:srgbClr val="FF6900"/>
                  </a:solidFill>
                </a:ln>
              </c:spPr>
            </c:marker>
            <c:bubble3D val="0"/>
            <c:spPr>
              <a:ln>
                <a:solidFill>
                  <a:srgbClr val="FF6900"/>
                </a:solidFill>
              </a:ln>
            </c:spPr>
          </c:dPt>
          <c:dPt>
            <c:idx val="90"/>
            <c:marker>
              <c:spPr>
                <a:ln>
                  <a:solidFill>
                    <a:srgbClr val="FF6900"/>
                  </a:solidFill>
                </a:ln>
              </c:spPr>
            </c:marker>
            <c:bubble3D val="0"/>
            <c:spPr>
              <a:ln>
                <a:solidFill>
                  <a:srgbClr val="FF6900"/>
                </a:solidFill>
              </a:ln>
            </c:spPr>
          </c:dPt>
          <c:dPt>
            <c:idx val="91"/>
            <c:marker>
              <c:spPr>
                <a:ln>
                  <a:solidFill>
                    <a:srgbClr val="FF6900"/>
                  </a:solidFill>
                </a:ln>
              </c:spPr>
            </c:marker>
            <c:bubble3D val="0"/>
            <c:spPr>
              <a:ln>
                <a:solidFill>
                  <a:srgbClr val="FF6900"/>
                </a:solidFill>
              </a:ln>
            </c:spPr>
          </c:dPt>
          <c:dPt>
            <c:idx val="92"/>
            <c:marker>
              <c:spPr>
                <a:ln>
                  <a:solidFill>
                    <a:srgbClr val="FF6900"/>
                  </a:solidFill>
                </a:ln>
              </c:spPr>
            </c:marker>
            <c:bubble3D val="0"/>
            <c:spPr>
              <a:ln>
                <a:solidFill>
                  <a:srgbClr val="FF6900"/>
                </a:solidFill>
              </a:ln>
            </c:spPr>
          </c:dPt>
          <c:dPt>
            <c:idx val="93"/>
            <c:marker>
              <c:spPr>
                <a:ln>
                  <a:solidFill>
                    <a:srgbClr val="FF6900"/>
                  </a:solidFill>
                </a:ln>
              </c:spPr>
            </c:marker>
            <c:bubble3D val="0"/>
            <c:spPr>
              <a:ln>
                <a:solidFill>
                  <a:srgbClr val="FF6900"/>
                </a:solidFill>
              </a:ln>
            </c:spPr>
          </c:dPt>
          <c:dPt>
            <c:idx val="94"/>
            <c:marker>
              <c:spPr>
                <a:ln>
                  <a:solidFill>
                    <a:srgbClr val="FF6900"/>
                  </a:solidFill>
                </a:ln>
              </c:spPr>
            </c:marker>
            <c:bubble3D val="0"/>
            <c:spPr>
              <a:ln>
                <a:solidFill>
                  <a:srgbClr val="FF6900"/>
                </a:solidFill>
              </a:ln>
            </c:spPr>
          </c:dPt>
          <c:dLbls>
            <c:dLbl>
              <c:idx val="0"/>
              <c:tx>
                <c:rich>
                  <a:bodyPr/>
                  <a:lstStyle/>
                  <a:p>
                    <a:r>
                      <a:rPr lang="pl-PL"/>
                      <a:t>1-2000</a:t>
                    </a:r>
                  </a:p>
                </c:rich>
              </c:tx>
              <c:showLegendKey val="0"/>
              <c:showVal val="0"/>
              <c:showCatName val="0"/>
              <c:showSerName val="1"/>
              <c:showPercent val="0"/>
              <c:showBubbleSize val="0"/>
            </c:dLbl>
            <c:dLbl>
              <c:idx val="12"/>
              <c:tx>
                <c:rich>
                  <a:bodyPr/>
                  <a:lstStyle/>
                  <a:p>
                    <a:r>
                      <a:rPr lang="pl-PL"/>
                      <a:t>1-2001</a:t>
                    </a:r>
                  </a:p>
                </c:rich>
              </c:tx>
              <c:showLegendKey val="0"/>
              <c:showVal val="0"/>
              <c:showCatName val="0"/>
              <c:showSerName val="1"/>
              <c:showPercent val="0"/>
              <c:showBubbleSize val="0"/>
            </c:dLbl>
            <c:dLbl>
              <c:idx val="24"/>
              <c:tx>
                <c:rich>
                  <a:bodyPr/>
                  <a:lstStyle/>
                  <a:p>
                    <a:r>
                      <a:rPr lang="pl-PL"/>
                      <a:t>1-2002</a:t>
                    </a:r>
                  </a:p>
                </c:rich>
              </c:tx>
              <c:showLegendKey val="0"/>
              <c:showVal val="0"/>
              <c:showCatName val="0"/>
              <c:showSerName val="1"/>
              <c:showPercent val="0"/>
              <c:showBubbleSize val="0"/>
            </c:dLbl>
            <c:dLbl>
              <c:idx val="36"/>
              <c:tx>
                <c:rich>
                  <a:bodyPr/>
                  <a:lstStyle/>
                  <a:p>
                    <a:r>
                      <a:rPr lang="pl-PL"/>
                      <a:t>1-2003</a:t>
                    </a:r>
                  </a:p>
                </c:rich>
              </c:tx>
              <c:showLegendKey val="0"/>
              <c:showVal val="0"/>
              <c:showCatName val="0"/>
              <c:showSerName val="1"/>
              <c:showPercent val="0"/>
              <c:showBubbleSize val="0"/>
            </c:dLbl>
            <c:dLbl>
              <c:idx val="48"/>
              <c:tx>
                <c:rich>
                  <a:bodyPr/>
                  <a:lstStyle/>
                  <a:p>
                    <a:r>
                      <a:rPr lang="pl-PL"/>
                      <a:t>1-2004</a:t>
                    </a:r>
                  </a:p>
                </c:rich>
              </c:tx>
              <c:showLegendKey val="0"/>
              <c:showVal val="0"/>
              <c:showCatName val="0"/>
              <c:showSerName val="1"/>
              <c:showPercent val="0"/>
              <c:showBubbleSize val="0"/>
            </c:dLbl>
            <c:dLbl>
              <c:idx val="60"/>
              <c:tx>
                <c:rich>
                  <a:bodyPr/>
                  <a:lstStyle/>
                  <a:p>
                    <a:r>
                      <a:rPr lang="pl-PL"/>
                      <a:t>1-2005</a:t>
                    </a:r>
                  </a:p>
                </c:rich>
              </c:tx>
              <c:showLegendKey val="0"/>
              <c:showVal val="0"/>
              <c:showCatName val="0"/>
              <c:showSerName val="1"/>
              <c:showPercent val="0"/>
              <c:showBubbleSize val="0"/>
            </c:dLbl>
            <c:dLbl>
              <c:idx val="72"/>
              <c:tx>
                <c:rich>
                  <a:bodyPr/>
                  <a:lstStyle/>
                  <a:p>
                    <a:r>
                      <a:rPr lang="pl-PL"/>
                      <a:t>1-2006</a:t>
                    </a:r>
                  </a:p>
                </c:rich>
              </c:tx>
              <c:showLegendKey val="0"/>
              <c:showVal val="0"/>
              <c:showCatName val="0"/>
              <c:showSerName val="1"/>
              <c:showPercent val="0"/>
              <c:showBubbleSize val="0"/>
            </c:dLbl>
            <c:dLbl>
              <c:idx val="84"/>
              <c:tx>
                <c:rich>
                  <a:bodyPr/>
                  <a:lstStyle/>
                  <a:p>
                    <a:r>
                      <a:rPr lang="pl-PL"/>
                      <a:t>1-2007</a:t>
                    </a:r>
                  </a:p>
                </c:rich>
              </c:tx>
              <c:showLegendKey val="0"/>
              <c:showVal val="0"/>
              <c:showCatName val="0"/>
              <c:showSerName val="1"/>
              <c:showPercent val="0"/>
              <c:showBubbleSize val="0"/>
            </c:dLbl>
            <c:showLegendKey val="0"/>
            <c:showVal val="0"/>
            <c:showCatName val="0"/>
            <c:showSerName val="0"/>
            <c:showPercent val="0"/>
            <c:showBubbleSize val="0"/>
          </c:dLbls>
          <c:xVal>
            <c:numRef>
              <c:f>zbożowe!$B$3:$B$97</c:f>
              <c:numCache>
                <c:formatCode>0.0</c:formatCode>
                <c:ptCount val="95"/>
                <c:pt idx="0">
                  <c:v>-5.4000000000000057</c:v>
                </c:pt>
                <c:pt idx="1">
                  <c:v>-4.7999999999999972</c:v>
                </c:pt>
                <c:pt idx="2">
                  <c:v>-6.4000000000000057</c:v>
                </c:pt>
                <c:pt idx="3">
                  <c:v>-6.4000000000000057</c:v>
                </c:pt>
                <c:pt idx="4">
                  <c:v>-5.4000000000000057</c:v>
                </c:pt>
                <c:pt idx="5">
                  <c:v>-5.4000000000000057</c:v>
                </c:pt>
                <c:pt idx="6">
                  <c:v>-4.2000000000000028</c:v>
                </c:pt>
                <c:pt idx="7">
                  <c:v>-2.2999999999999972</c:v>
                </c:pt>
                <c:pt idx="8">
                  <c:v>-2</c:v>
                </c:pt>
                <c:pt idx="9">
                  <c:v>-2.0999999999999943</c:v>
                </c:pt>
                <c:pt idx="10">
                  <c:v>-1.2999999999999972</c:v>
                </c:pt>
                <c:pt idx="11">
                  <c:v>-1.2999999999999972</c:v>
                </c:pt>
                <c:pt idx="12">
                  <c:v>1.0999999999999943</c:v>
                </c:pt>
                <c:pt idx="13">
                  <c:v>2.2999999999999972</c:v>
                </c:pt>
                <c:pt idx="14">
                  <c:v>5.5999999999999943</c:v>
                </c:pt>
                <c:pt idx="15">
                  <c:v>5</c:v>
                </c:pt>
                <c:pt idx="16">
                  <c:v>3.7000000000000028</c:v>
                </c:pt>
                <c:pt idx="17">
                  <c:v>4.7000000000000028</c:v>
                </c:pt>
                <c:pt idx="18">
                  <c:v>6.7999999999999972</c:v>
                </c:pt>
                <c:pt idx="19">
                  <c:v>4.2999999999999972</c:v>
                </c:pt>
                <c:pt idx="20">
                  <c:v>4.5</c:v>
                </c:pt>
                <c:pt idx="21">
                  <c:v>5.9000000000000057</c:v>
                </c:pt>
                <c:pt idx="22">
                  <c:v>6.5999999999999943</c:v>
                </c:pt>
                <c:pt idx="23">
                  <c:v>6.5</c:v>
                </c:pt>
                <c:pt idx="24">
                  <c:v>5.9000000000000057</c:v>
                </c:pt>
                <c:pt idx="25">
                  <c:v>4.5999999999999943</c:v>
                </c:pt>
                <c:pt idx="26">
                  <c:v>4</c:v>
                </c:pt>
                <c:pt idx="27">
                  <c:v>4.5</c:v>
                </c:pt>
                <c:pt idx="28">
                  <c:v>5.2000000000000028</c:v>
                </c:pt>
                <c:pt idx="29">
                  <c:v>6.5</c:v>
                </c:pt>
                <c:pt idx="30">
                  <c:v>4</c:v>
                </c:pt>
                <c:pt idx="31">
                  <c:v>4.2999999999999972</c:v>
                </c:pt>
                <c:pt idx="32">
                  <c:v>4.2999999999999972</c:v>
                </c:pt>
                <c:pt idx="33">
                  <c:v>4.2999999999999972</c:v>
                </c:pt>
                <c:pt idx="34">
                  <c:v>4.0999999999999943</c:v>
                </c:pt>
                <c:pt idx="35">
                  <c:v>5.4000000000000057</c:v>
                </c:pt>
                <c:pt idx="36">
                  <c:v>6.4000000000000057</c:v>
                </c:pt>
                <c:pt idx="37">
                  <c:v>7.0999999999999943</c:v>
                </c:pt>
                <c:pt idx="38">
                  <c:v>9.2999999999999972</c:v>
                </c:pt>
                <c:pt idx="39">
                  <c:v>11.200000000000003</c:v>
                </c:pt>
                <c:pt idx="40">
                  <c:v>10.700000000000003</c:v>
                </c:pt>
                <c:pt idx="41">
                  <c:v>9.7999999999999972</c:v>
                </c:pt>
                <c:pt idx="42">
                  <c:v>10.099999999999994</c:v>
                </c:pt>
                <c:pt idx="43">
                  <c:v>9.4000000000000057</c:v>
                </c:pt>
                <c:pt idx="44">
                  <c:v>8.4000000000000057</c:v>
                </c:pt>
                <c:pt idx="45">
                  <c:v>7.2999999999999972</c:v>
                </c:pt>
                <c:pt idx="46">
                  <c:v>6.4000000000000057</c:v>
                </c:pt>
                <c:pt idx="47">
                  <c:v>5.4000000000000057</c:v>
                </c:pt>
                <c:pt idx="48">
                  <c:v>3</c:v>
                </c:pt>
                <c:pt idx="49">
                  <c:v>2.2999999999999972</c:v>
                </c:pt>
                <c:pt idx="50">
                  <c:v>-0.5</c:v>
                </c:pt>
                <c:pt idx="51">
                  <c:v>-2.2000000000000028</c:v>
                </c:pt>
                <c:pt idx="52">
                  <c:v>-2.7999999999999972</c:v>
                </c:pt>
                <c:pt idx="53">
                  <c:v>-2.4000000000000057</c:v>
                </c:pt>
                <c:pt idx="54">
                  <c:v>-3.4000000000000057</c:v>
                </c:pt>
                <c:pt idx="55">
                  <c:v>-2.7000000000000028</c:v>
                </c:pt>
                <c:pt idx="56">
                  <c:v>-2.4000000000000057</c:v>
                </c:pt>
                <c:pt idx="57">
                  <c:v>-2.2999999999999972</c:v>
                </c:pt>
                <c:pt idx="58">
                  <c:v>-1.9000000000000057</c:v>
                </c:pt>
                <c:pt idx="59">
                  <c:v>-1.2000000000000028</c:v>
                </c:pt>
                <c:pt idx="60">
                  <c:v>0.29999999999999716</c:v>
                </c:pt>
                <c:pt idx="61">
                  <c:v>1</c:v>
                </c:pt>
                <c:pt idx="62">
                  <c:v>3.7000000000000028</c:v>
                </c:pt>
                <c:pt idx="63">
                  <c:v>4.9000000000000057</c:v>
                </c:pt>
                <c:pt idx="64">
                  <c:v>6.0999999999999943</c:v>
                </c:pt>
                <c:pt idx="65">
                  <c:v>3.7000000000000028</c:v>
                </c:pt>
                <c:pt idx="66">
                  <c:v>4.2000000000000028</c:v>
                </c:pt>
                <c:pt idx="67">
                  <c:v>4.5</c:v>
                </c:pt>
                <c:pt idx="68">
                  <c:v>5.5999999999999943</c:v>
                </c:pt>
                <c:pt idx="69">
                  <c:v>8.2000000000000028</c:v>
                </c:pt>
                <c:pt idx="70">
                  <c:v>9.7999999999999972</c:v>
                </c:pt>
                <c:pt idx="71">
                  <c:v>11.099999999999994</c:v>
                </c:pt>
                <c:pt idx="72">
                  <c:v>10.299999999999997</c:v>
                </c:pt>
                <c:pt idx="73">
                  <c:v>11.099999999999994</c:v>
                </c:pt>
                <c:pt idx="74">
                  <c:v>9.0999999999999943</c:v>
                </c:pt>
                <c:pt idx="75">
                  <c:v>8.2999999999999972</c:v>
                </c:pt>
                <c:pt idx="76">
                  <c:v>7.7999999999999972</c:v>
                </c:pt>
                <c:pt idx="77">
                  <c:v>9.7999999999999972</c:v>
                </c:pt>
                <c:pt idx="78">
                  <c:v>9.5</c:v>
                </c:pt>
                <c:pt idx="79">
                  <c:v>8.4000000000000057</c:v>
                </c:pt>
                <c:pt idx="80">
                  <c:v>8.4000000000000057</c:v>
                </c:pt>
                <c:pt idx="81">
                  <c:v>7.2000000000000028</c:v>
                </c:pt>
                <c:pt idx="82">
                  <c:v>6.4000000000000057</c:v>
                </c:pt>
                <c:pt idx="83">
                  <c:v>5</c:v>
                </c:pt>
                <c:pt idx="84">
                  <c:v>4.0999999999999943</c:v>
                </c:pt>
                <c:pt idx="85">
                  <c:v>2.7000000000000028</c:v>
                </c:pt>
                <c:pt idx="86">
                  <c:v>2.7999999999999972</c:v>
                </c:pt>
                <c:pt idx="87">
                  <c:v>2.4000000000000057</c:v>
                </c:pt>
                <c:pt idx="88">
                  <c:v>1.9000000000000057</c:v>
                </c:pt>
                <c:pt idx="89">
                  <c:v>0.90000000000000568</c:v>
                </c:pt>
                <c:pt idx="90">
                  <c:v>1.5999999999999943</c:v>
                </c:pt>
                <c:pt idx="91">
                  <c:v>1.7999999999999972</c:v>
                </c:pt>
                <c:pt idx="92">
                  <c:v>2.0999999999999943</c:v>
                </c:pt>
                <c:pt idx="93">
                  <c:v>0.90000000000000568</c:v>
                </c:pt>
                <c:pt idx="94">
                  <c:v>9.9999999999994316E-2</c:v>
                </c:pt>
              </c:numCache>
            </c:numRef>
          </c:xVal>
          <c:yVal>
            <c:numRef>
              <c:f>zbożowe!$I$3:$I$97</c:f>
              <c:numCache>
                <c:formatCode>0.0</c:formatCode>
                <c:ptCount val="95"/>
                <c:pt idx="0">
                  <c:v>3.5999999999999943</c:v>
                </c:pt>
                <c:pt idx="1">
                  <c:v>4.7999999999999972</c:v>
                </c:pt>
                <c:pt idx="2">
                  <c:v>5.4000000000000057</c:v>
                </c:pt>
                <c:pt idx="3">
                  <c:v>4</c:v>
                </c:pt>
                <c:pt idx="4">
                  <c:v>5.2000000000000028</c:v>
                </c:pt>
                <c:pt idx="5">
                  <c:v>4.5</c:v>
                </c:pt>
                <c:pt idx="6">
                  <c:v>5.5999999999999943</c:v>
                </c:pt>
                <c:pt idx="7">
                  <c:v>5.2999999999999972</c:v>
                </c:pt>
                <c:pt idx="8">
                  <c:v>5.0999999999999943</c:v>
                </c:pt>
                <c:pt idx="9">
                  <c:v>4.7000000000000028</c:v>
                </c:pt>
                <c:pt idx="10">
                  <c:v>3</c:v>
                </c:pt>
                <c:pt idx="11">
                  <c:v>8.5</c:v>
                </c:pt>
                <c:pt idx="12">
                  <c:v>7.7999999999999972</c:v>
                </c:pt>
                <c:pt idx="13">
                  <c:v>6.4000000000000057</c:v>
                </c:pt>
                <c:pt idx="14">
                  <c:v>9.0999999999999943</c:v>
                </c:pt>
                <c:pt idx="15">
                  <c:v>8.4000000000000057</c:v>
                </c:pt>
                <c:pt idx="16">
                  <c:v>8.9000000000000057</c:v>
                </c:pt>
                <c:pt idx="17">
                  <c:v>9.2999999999999972</c:v>
                </c:pt>
                <c:pt idx="18">
                  <c:v>9.2999999999999972</c:v>
                </c:pt>
                <c:pt idx="19">
                  <c:v>10.5</c:v>
                </c:pt>
                <c:pt idx="20">
                  <c:v>9.5</c:v>
                </c:pt>
                <c:pt idx="21">
                  <c:v>11</c:v>
                </c:pt>
                <c:pt idx="22">
                  <c:v>12</c:v>
                </c:pt>
                <c:pt idx="23">
                  <c:v>7.2000000000000028</c:v>
                </c:pt>
                <c:pt idx="24">
                  <c:v>11.700000000000003</c:v>
                </c:pt>
                <c:pt idx="25">
                  <c:v>13.200000000000003</c:v>
                </c:pt>
                <c:pt idx="26">
                  <c:v>10.5</c:v>
                </c:pt>
                <c:pt idx="27">
                  <c:v>12.900000000000006</c:v>
                </c:pt>
                <c:pt idx="28">
                  <c:v>10.799999999999997</c:v>
                </c:pt>
                <c:pt idx="29">
                  <c:v>12.299999999999997</c:v>
                </c:pt>
                <c:pt idx="30">
                  <c:v>11.799999999999997</c:v>
                </c:pt>
                <c:pt idx="31">
                  <c:v>9.9000000000000057</c:v>
                </c:pt>
                <c:pt idx="32">
                  <c:v>11.200000000000003</c:v>
                </c:pt>
                <c:pt idx="33">
                  <c:v>10.099999999999994</c:v>
                </c:pt>
                <c:pt idx="34">
                  <c:v>7.5999999999999943</c:v>
                </c:pt>
                <c:pt idx="35">
                  <c:v>5.5999999999999943</c:v>
                </c:pt>
                <c:pt idx="36">
                  <c:v>8.0999999999999943</c:v>
                </c:pt>
                <c:pt idx="37">
                  <c:v>5.0999999999999943</c:v>
                </c:pt>
                <c:pt idx="38">
                  <c:v>5.7000000000000028</c:v>
                </c:pt>
                <c:pt idx="39">
                  <c:v>4.7999999999999972</c:v>
                </c:pt>
                <c:pt idx="40">
                  <c:v>3.7999999999999972</c:v>
                </c:pt>
                <c:pt idx="41">
                  <c:v>2</c:v>
                </c:pt>
                <c:pt idx="42">
                  <c:v>3.9000000000000057</c:v>
                </c:pt>
                <c:pt idx="43">
                  <c:v>3</c:v>
                </c:pt>
                <c:pt idx="44">
                  <c:v>3.2999999999999972</c:v>
                </c:pt>
                <c:pt idx="45">
                  <c:v>2</c:v>
                </c:pt>
                <c:pt idx="46">
                  <c:v>2.2999999999999972</c:v>
                </c:pt>
                <c:pt idx="47">
                  <c:v>6.5</c:v>
                </c:pt>
                <c:pt idx="48">
                  <c:v>0.5</c:v>
                </c:pt>
                <c:pt idx="49">
                  <c:v>2.9000000000000057</c:v>
                </c:pt>
                <c:pt idx="50">
                  <c:v>4.7999999999999972</c:v>
                </c:pt>
                <c:pt idx="51">
                  <c:v>3.2000000000000028</c:v>
                </c:pt>
                <c:pt idx="52">
                  <c:v>4.7999999999999972</c:v>
                </c:pt>
                <c:pt idx="53">
                  <c:v>3.5</c:v>
                </c:pt>
                <c:pt idx="54">
                  <c:v>2.0999999999999943</c:v>
                </c:pt>
                <c:pt idx="55">
                  <c:v>4.2000000000000028</c:v>
                </c:pt>
                <c:pt idx="56">
                  <c:v>3.7000000000000028</c:v>
                </c:pt>
                <c:pt idx="57">
                  <c:v>3.9000000000000057</c:v>
                </c:pt>
                <c:pt idx="58">
                  <c:v>3.5999999999999943</c:v>
                </c:pt>
                <c:pt idx="59">
                  <c:v>5.4000000000000057</c:v>
                </c:pt>
                <c:pt idx="60">
                  <c:v>5</c:v>
                </c:pt>
                <c:pt idx="61">
                  <c:v>4.0999999999999943</c:v>
                </c:pt>
                <c:pt idx="62">
                  <c:v>4</c:v>
                </c:pt>
                <c:pt idx="63">
                  <c:v>5.9000000000000057</c:v>
                </c:pt>
                <c:pt idx="64">
                  <c:v>4.0999999999999943</c:v>
                </c:pt>
                <c:pt idx="65">
                  <c:v>5.7999999999999972</c:v>
                </c:pt>
                <c:pt idx="66">
                  <c:v>5.2000000000000028</c:v>
                </c:pt>
                <c:pt idx="67">
                  <c:v>5.4000000000000057</c:v>
                </c:pt>
                <c:pt idx="68">
                  <c:v>5.2000000000000028</c:v>
                </c:pt>
                <c:pt idx="69">
                  <c:v>5.0999999999999943</c:v>
                </c:pt>
                <c:pt idx="70">
                  <c:v>4.4000000000000057</c:v>
                </c:pt>
                <c:pt idx="71">
                  <c:v>4.4000000000000057</c:v>
                </c:pt>
                <c:pt idx="72">
                  <c:v>8.0999999999999943</c:v>
                </c:pt>
                <c:pt idx="73">
                  <c:v>4.2999999999999972</c:v>
                </c:pt>
                <c:pt idx="74">
                  <c:v>3.7999999999999972</c:v>
                </c:pt>
                <c:pt idx="75">
                  <c:v>3.4000000000000057</c:v>
                </c:pt>
                <c:pt idx="76">
                  <c:v>3.7999999999999972</c:v>
                </c:pt>
                <c:pt idx="77">
                  <c:v>4.2999999999999972</c:v>
                </c:pt>
                <c:pt idx="78">
                  <c:v>2.4000000000000057</c:v>
                </c:pt>
                <c:pt idx="79">
                  <c:v>2.7000000000000028</c:v>
                </c:pt>
                <c:pt idx="80">
                  <c:v>1.5999999999999943</c:v>
                </c:pt>
                <c:pt idx="81">
                  <c:v>2.7999999999999972</c:v>
                </c:pt>
                <c:pt idx="82">
                  <c:v>2.7000000000000028</c:v>
                </c:pt>
                <c:pt idx="83">
                  <c:v>2.4000000000000057</c:v>
                </c:pt>
                <c:pt idx="84">
                  <c:v>0.40000000000000568</c:v>
                </c:pt>
                <c:pt idx="85">
                  <c:v>4</c:v>
                </c:pt>
                <c:pt idx="86">
                  <c:v>1.5999999999999943</c:v>
                </c:pt>
                <c:pt idx="87">
                  <c:v>3</c:v>
                </c:pt>
                <c:pt idx="88">
                  <c:v>2.2999999999999972</c:v>
                </c:pt>
                <c:pt idx="89">
                  <c:v>1.4000000000000057</c:v>
                </c:pt>
                <c:pt idx="90">
                  <c:v>3.5</c:v>
                </c:pt>
                <c:pt idx="91">
                  <c:v>2</c:v>
                </c:pt>
                <c:pt idx="92">
                  <c:v>3.5999999999999943</c:v>
                </c:pt>
                <c:pt idx="93">
                  <c:v>3.0999999999999943</c:v>
                </c:pt>
                <c:pt idx="94">
                  <c:v>3.0999999999999943</c:v>
                </c:pt>
              </c:numCache>
            </c:numRef>
          </c:yVal>
          <c:smooth val="1"/>
        </c:ser>
        <c:dLbls>
          <c:showLegendKey val="0"/>
          <c:showVal val="0"/>
          <c:showCatName val="0"/>
          <c:showSerName val="0"/>
          <c:showPercent val="0"/>
          <c:showBubbleSize val="0"/>
        </c:dLbls>
        <c:axId val="212257024"/>
        <c:axId val="212279296"/>
      </c:scatterChart>
      <c:valAx>
        <c:axId val="212257024"/>
        <c:scaling>
          <c:orientation val="minMax"/>
          <c:min val="-11"/>
        </c:scaling>
        <c:delete val="0"/>
        <c:axPos val="b"/>
        <c:numFmt formatCode="0.0" sourceLinked="1"/>
        <c:majorTickMark val="out"/>
        <c:minorTickMark val="none"/>
        <c:tickLblPos val="nextTo"/>
        <c:crossAx val="212279296"/>
        <c:crosses val="autoZero"/>
        <c:crossBetween val="midCat"/>
      </c:valAx>
      <c:valAx>
        <c:axId val="212279296"/>
        <c:scaling>
          <c:orientation val="minMax"/>
          <c:min val="-5"/>
        </c:scaling>
        <c:delete val="0"/>
        <c:axPos val="l"/>
        <c:majorGridlines/>
        <c:numFmt formatCode="0.0" sourceLinked="1"/>
        <c:majorTickMark val="out"/>
        <c:minorTickMark val="none"/>
        <c:tickLblPos val="nextTo"/>
        <c:crossAx val="21225702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92D4-82BE-45B7-8FB3-97FC204F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990</Words>
  <Characters>5941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Narodowy Bank Polski</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Rybacki, Jakub Paweł</dc:creator>
  <cp:lastModifiedBy>Rybacki, Jakub Paweł</cp:lastModifiedBy>
  <cp:revision>10</cp:revision>
  <dcterms:created xsi:type="dcterms:W3CDTF">2014-03-05T14:26:00Z</dcterms:created>
  <dcterms:modified xsi:type="dcterms:W3CDTF">2014-03-10T09:08:00Z</dcterms:modified>
</cp:coreProperties>
</file>